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450" w:rsidRPr="00BC1450" w:rsidRDefault="00BC1450" w:rsidP="00BC1450">
      <w:pPr>
        <w:tabs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b/>
          <w:bCs/>
          <w:color w:val="1F497D"/>
          <w:sz w:val="24"/>
          <w:szCs w:val="24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4"/>
          <w:szCs w:val="24"/>
        </w:rPr>
        <w:t>GRADSKA KNJIŽNICA SAMOBOR</w:t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SAMOBOR, Miroslava Krleže 9, OIB: 54589356882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4"/>
          <w:szCs w:val="24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4"/>
          <w:szCs w:val="24"/>
        </w:rPr>
        <w:t>BILJEŠKE UZ FINANCIJSKA IZVJEŠĆA</w:t>
      </w:r>
    </w:p>
    <w:p w:rsidR="00BC1450" w:rsidRPr="00BC1450" w:rsidRDefault="00BC1450" w:rsidP="00BC1450">
      <w:pPr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za razdoblje: 1. siječanj 201</w:t>
      </w:r>
      <w:r w:rsidR="00955ADC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9. – 31. prosinac 2019</w:t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.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1. IZVJEŠTAJ O PRIHODIMA I RASHODIMA, PRIMICIMA I IZDACIMA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Bilješka 1. Ukupni prihodi - AOP 403</w:t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U izvještajnom razdoblju ostvareni su ukup</w:t>
      </w:r>
      <w:r w:rsidR="005C59DF">
        <w:rPr>
          <w:rFonts w:ascii="Century Gothic" w:eastAsia="Times New Roman" w:hAnsi="Century Gothic" w:cs="Times New Roman"/>
          <w:color w:val="1F497D"/>
          <w:sz w:val="20"/>
          <w:szCs w:val="20"/>
        </w:rPr>
        <w:t>ni prihodi u iznosu od 3.441.482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 i imaju sljedeću strukturu:</w:t>
      </w:r>
    </w:p>
    <w:tbl>
      <w:tblPr>
        <w:tblStyle w:val="Reetkatablice"/>
        <w:tblW w:w="0" w:type="auto"/>
        <w:tblInd w:w="108" w:type="dxa"/>
        <w:tblLook w:val="04A0"/>
      </w:tblPr>
      <w:tblGrid>
        <w:gridCol w:w="709"/>
        <w:gridCol w:w="604"/>
        <w:gridCol w:w="2940"/>
        <w:gridCol w:w="1302"/>
        <w:gridCol w:w="1274"/>
        <w:gridCol w:w="1173"/>
        <w:gridCol w:w="1173"/>
      </w:tblGrid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AOP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Rač</w:t>
            </w:r>
          </w:p>
        </w:tc>
        <w:tc>
          <w:tcPr>
            <w:tcW w:w="2940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Opis</w:t>
            </w:r>
          </w:p>
        </w:tc>
        <w:tc>
          <w:tcPr>
            <w:tcW w:w="3749" w:type="dxa"/>
            <w:gridSpan w:val="3"/>
          </w:tcPr>
          <w:p w:rsidR="00BC1450" w:rsidRPr="00BC1450" w:rsidRDefault="00BC1450" w:rsidP="00BC1450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Ostvareno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Strukt. 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2940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1302" w:type="dxa"/>
          </w:tcPr>
          <w:p w:rsidR="00BC1450" w:rsidRPr="00BC1450" w:rsidRDefault="00BC1450" w:rsidP="00955ADC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201</w:t>
            </w:r>
            <w:r w:rsidR="00955ADC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.g.</w:t>
            </w:r>
          </w:p>
        </w:tc>
        <w:tc>
          <w:tcPr>
            <w:tcW w:w="1274" w:type="dxa"/>
          </w:tcPr>
          <w:p w:rsidR="00BC1450" w:rsidRPr="00BC1450" w:rsidRDefault="00BC1450" w:rsidP="00955ADC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201</w:t>
            </w:r>
            <w:r w:rsidR="00955ADC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.g.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057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634</w:t>
            </w:r>
          </w:p>
        </w:tc>
        <w:tc>
          <w:tcPr>
            <w:tcW w:w="2940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Pomoći od izvanproračunskih korisnika</w:t>
            </w:r>
          </w:p>
        </w:tc>
        <w:tc>
          <w:tcPr>
            <w:tcW w:w="1302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 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063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636</w:t>
            </w:r>
          </w:p>
        </w:tc>
        <w:tc>
          <w:tcPr>
            <w:tcW w:w="2940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Pomoći proračunskim korisnicima iz proračuna koji im nije nadležan</w:t>
            </w:r>
          </w:p>
        </w:tc>
        <w:tc>
          <w:tcPr>
            <w:tcW w:w="1302" w:type="dxa"/>
          </w:tcPr>
          <w:p w:rsidR="00BC1450" w:rsidRPr="00BC1450" w:rsidRDefault="00955ADC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221.000</w:t>
            </w:r>
          </w:p>
        </w:tc>
        <w:tc>
          <w:tcPr>
            <w:tcW w:w="1274" w:type="dxa"/>
          </w:tcPr>
          <w:p w:rsidR="00BC1450" w:rsidRPr="00BC1450" w:rsidRDefault="00BC1450" w:rsidP="00955ADC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22</w:t>
            </w:r>
            <w:r w:rsidR="00955ADC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</w:t>
            </w:r>
            <w:r w:rsidR="00955ADC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00</w:t>
            </w:r>
          </w:p>
        </w:tc>
        <w:tc>
          <w:tcPr>
            <w:tcW w:w="1173" w:type="dxa"/>
          </w:tcPr>
          <w:p w:rsidR="00BC1450" w:rsidRPr="00BC1450" w:rsidRDefault="00BC1450" w:rsidP="00F4665D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</w:t>
            </w:r>
            <w:r w:rsidR="00F4665D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02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075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641</w:t>
            </w:r>
          </w:p>
        </w:tc>
        <w:tc>
          <w:tcPr>
            <w:tcW w:w="2940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Prihodi od financijske imovine</w:t>
            </w:r>
          </w:p>
        </w:tc>
        <w:tc>
          <w:tcPr>
            <w:tcW w:w="1302" w:type="dxa"/>
          </w:tcPr>
          <w:p w:rsidR="00BC1450" w:rsidRPr="00BC1450" w:rsidRDefault="00955ADC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</w:t>
            </w:r>
          </w:p>
        </w:tc>
        <w:tc>
          <w:tcPr>
            <w:tcW w:w="1274" w:type="dxa"/>
          </w:tcPr>
          <w:p w:rsidR="00BC1450" w:rsidRPr="00BC1450" w:rsidRDefault="00955ADC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3%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124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661</w:t>
            </w:r>
          </w:p>
        </w:tc>
        <w:tc>
          <w:tcPr>
            <w:tcW w:w="2940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Prihodi od prodaje proizvoda i robe te pruženih usluga</w:t>
            </w:r>
          </w:p>
        </w:tc>
        <w:tc>
          <w:tcPr>
            <w:tcW w:w="1302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="00955ADC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97.956</w:t>
            </w:r>
          </w:p>
        </w:tc>
        <w:tc>
          <w:tcPr>
            <w:tcW w:w="1274" w:type="dxa"/>
          </w:tcPr>
          <w:p w:rsidR="00BC1450" w:rsidRPr="00BC1450" w:rsidRDefault="00955ADC" w:rsidP="004B5D2B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30</w:t>
            </w:r>
            <w:r w:rsidR="004B5D2B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</w:t>
            </w:r>
            <w:r w:rsidR="004B5D2B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675</w:t>
            </w:r>
          </w:p>
        </w:tc>
        <w:tc>
          <w:tcPr>
            <w:tcW w:w="1173" w:type="dxa"/>
          </w:tcPr>
          <w:p w:rsidR="00BC1450" w:rsidRPr="00BC1450" w:rsidRDefault="00BC1450" w:rsidP="00F4665D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</w:t>
            </w:r>
            <w:r w:rsidR="00F4665D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127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663</w:t>
            </w:r>
          </w:p>
        </w:tc>
        <w:tc>
          <w:tcPr>
            <w:tcW w:w="2940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Donacije od pravnih i fizičkih osoba izvan općeg proračuna</w:t>
            </w:r>
          </w:p>
        </w:tc>
        <w:tc>
          <w:tcPr>
            <w:tcW w:w="1302" w:type="dxa"/>
          </w:tcPr>
          <w:p w:rsidR="00BC1450" w:rsidRPr="00BC1450" w:rsidRDefault="00955ADC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274" w:type="dxa"/>
          </w:tcPr>
          <w:p w:rsidR="00BC1450" w:rsidRPr="00BC1450" w:rsidRDefault="00955ADC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3.2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131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671</w:t>
            </w:r>
          </w:p>
        </w:tc>
        <w:tc>
          <w:tcPr>
            <w:tcW w:w="2940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Prihodi iz nadležnog proračuna za financiranje redovne djelatnosti proračunskih korisnika</w:t>
            </w:r>
          </w:p>
        </w:tc>
        <w:tc>
          <w:tcPr>
            <w:tcW w:w="1302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2.</w:t>
            </w:r>
            <w:r w:rsidR="00955ADC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857.310</w:t>
            </w:r>
          </w:p>
        </w:tc>
        <w:tc>
          <w:tcPr>
            <w:tcW w:w="1274" w:type="dxa"/>
          </w:tcPr>
          <w:p w:rsidR="00BC1450" w:rsidRPr="00BC1450" w:rsidRDefault="00BC1450" w:rsidP="00955ADC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2.</w:t>
            </w:r>
            <w:r w:rsidR="00955ADC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909.099</w:t>
            </w:r>
          </w:p>
        </w:tc>
        <w:tc>
          <w:tcPr>
            <w:tcW w:w="1173" w:type="dxa"/>
          </w:tcPr>
          <w:p w:rsidR="00BC1450" w:rsidRPr="00BC1450" w:rsidRDefault="00BC1450" w:rsidP="00F4665D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</w:t>
            </w:r>
            <w:r w:rsidR="00F4665D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3" w:type="dxa"/>
          </w:tcPr>
          <w:p w:rsidR="00BC1450" w:rsidRPr="00BC1450" w:rsidRDefault="00BC1450" w:rsidP="004B5D2B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</w:t>
            </w:r>
            <w:r w:rsidR="004B5D2B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403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2940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UKUPNI PRIHODI</w:t>
            </w:r>
          </w:p>
        </w:tc>
        <w:tc>
          <w:tcPr>
            <w:tcW w:w="1302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3.</w:t>
            </w:r>
            <w:r w:rsidR="00955ADC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376.267</w:t>
            </w:r>
          </w:p>
        </w:tc>
        <w:tc>
          <w:tcPr>
            <w:tcW w:w="1274" w:type="dxa"/>
          </w:tcPr>
          <w:p w:rsidR="00BC1450" w:rsidRPr="00BC1450" w:rsidRDefault="00F4665D" w:rsidP="00BC1450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3.441.482</w:t>
            </w:r>
          </w:p>
        </w:tc>
        <w:tc>
          <w:tcPr>
            <w:tcW w:w="1173" w:type="dxa"/>
          </w:tcPr>
          <w:p w:rsidR="00BC1450" w:rsidRPr="00BC1450" w:rsidRDefault="00BC1450" w:rsidP="00F4665D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</w:t>
            </w:r>
            <w:r w:rsidR="00F4665D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3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100%</w:t>
            </w:r>
          </w:p>
        </w:tc>
      </w:tr>
    </w:tbl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U strukturi prihoda najznačajniji su prihodi iz nadležnog proračuna za financiranje redovne djelatnosti proračunskih korisnika u visini od 2.</w:t>
      </w:r>
      <w:r w:rsidR="00955ADC">
        <w:rPr>
          <w:rFonts w:ascii="Century Gothic" w:eastAsia="Times New Roman" w:hAnsi="Century Gothic" w:cs="Times New Roman"/>
          <w:color w:val="1F497D"/>
          <w:sz w:val="20"/>
          <w:szCs w:val="20"/>
        </w:rPr>
        <w:t>909.099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 što čini 8</w:t>
      </w:r>
      <w:r w:rsidR="004B5D2B">
        <w:rPr>
          <w:rFonts w:ascii="Century Gothic" w:eastAsia="Times New Roman" w:hAnsi="Century Gothic" w:cs="Times New Roman"/>
          <w:color w:val="1F497D"/>
          <w:sz w:val="20"/>
          <w:szCs w:val="20"/>
        </w:rPr>
        <w:t>4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% ukupnih prihoda izvještajnog razdoblja.</w:t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U izvještajnom razdoblju ostvaren je rast prihoda za </w:t>
      </w:r>
      <w:r w:rsidR="00F4665D">
        <w:rPr>
          <w:rFonts w:ascii="Century Gothic" w:eastAsia="Times New Roman" w:hAnsi="Century Gothic" w:cs="Times New Roman"/>
          <w:color w:val="1F497D"/>
          <w:sz w:val="20"/>
          <w:szCs w:val="20"/>
        </w:rPr>
        <w:t>2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% u odnosu na prethodno razdoblje.</w:t>
      </w:r>
    </w:p>
    <w:p w:rsid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</w:p>
    <w:p w:rsid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</w:p>
    <w:p w:rsid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bookmarkStart w:id="0" w:name="_GoBack"/>
      <w:bookmarkEnd w:id="0"/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Bilješka 2. Ukupni rashodi - AOP 404</w:t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U izvještajnom razdoblju ostvareni su ukup</w:t>
      </w:r>
      <w:r w:rsidR="00997595">
        <w:rPr>
          <w:rFonts w:ascii="Century Gothic" w:eastAsia="Times New Roman" w:hAnsi="Century Gothic" w:cs="Times New Roman"/>
          <w:color w:val="1F497D"/>
          <w:sz w:val="20"/>
          <w:szCs w:val="20"/>
        </w:rPr>
        <w:t>ni rashodi u iznosu od 3.406.369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 i imaju sljedeću strukturu:</w:t>
      </w:r>
    </w:p>
    <w:tbl>
      <w:tblPr>
        <w:tblStyle w:val="Reetkatablice"/>
        <w:tblW w:w="5000" w:type="pct"/>
        <w:tblLook w:val="04A0"/>
      </w:tblPr>
      <w:tblGrid>
        <w:gridCol w:w="673"/>
        <w:gridCol w:w="606"/>
        <w:gridCol w:w="2816"/>
        <w:gridCol w:w="1324"/>
        <w:gridCol w:w="1211"/>
        <w:gridCol w:w="1382"/>
        <w:gridCol w:w="1276"/>
      </w:tblGrid>
      <w:tr w:rsidR="00BC1450" w:rsidRPr="00BC1450" w:rsidTr="00D741F6">
        <w:tc>
          <w:tcPr>
            <w:tcW w:w="362" w:type="pct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AOP</w:t>
            </w:r>
          </w:p>
        </w:tc>
        <w:tc>
          <w:tcPr>
            <w:tcW w:w="326" w:type="pct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Rač</w:t>
            </w:r>
          </w:p>
        </w:tc>
        <w:tc>
          <w:tcPr>
            <w:tcW w:w="1516" w:type="pct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Opis</w:t>
            </w:r>
          </w:p>
        </w:tc>
        <w:tc>
          <w:tcPr>
            <w:tcW w:w="2109" w:type="pct"/>
            <w:gridSpan w:val="3"/>
          </w:tcPr>
          <w:p w:rsidR="00BC1450" w:rsidRPr="00BC1450" w:rsidRDefault="00BC1450" w:rsidP="00BC1450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Ostvareno</w:t>
            </w:r>
          </w:p>
        </w:tc>
        <w:tc>
          <w:tcPr>
            <w:tcW w:w="688" w:type="pct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Strukt. %</w:t>
            </w:r>
          </w:p>
        </w:tc>
      </w:tr>
      <w:tr w:rsidR="00BC1450" w:rsidRPr="00BC1450" w:rsidTr="00D741F6">
        <w:tc>
          <w:tcPr>
            <w:tcW w:w="362" w:type="pct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326" w:type="pct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1516" w:type="pct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713" w:type="pct"/>
          </w:tcPr>
          <w:p w:rsidR="00BC1450" w:rsidRPr="00BC1450" w:rsidRDefault="00BC1450" w:rsidP="00AD4F11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201</w:t>
            </w:r>
            <w:r w:rsidR="00997595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.g.</w:t>
            </w:r>
          </w:p>
        </w:tc>
        <w:tc>
          <w:tcPr>
            <w:tcW w:w="652" w:type="pct"/>
          </w:tcPr>
          <w:p w:rsidR="00BC1450" w:rsidRPr="00BC1450" w:rsidRDefault="00AD4F11" w:rsidP="00BC1450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2019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.g.</w:t>
            </w:r>
          </w:p>
        </w:tc>
        <w:tc>
          <w:tcPr>
            <w:tcW w:w="743" w:type="pct"/>
          </w:tcPr>
          <w:p w:rsidR="00BC1450" w:rsidRPr="00BC1450" w:rsidRDefault="00BC1450" w:rsidP="00BC1450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BC1450" w:rsidRPr="00BC1450" w:rsidRDefault="00BC1450" w:rsidP="00BC1450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150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311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Plaće (bruto)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1.890.701</w:t>
            </w:r>
          </w:p>
        </w:tc>
        <w:tc>
          <w:tcPr>
            <w:tcW w:w="652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1.</w:t>
            </w:r>
            <w:r w:rsidR="00A71A2F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787.633</w:t>
            </w:r>
          </w:p>
        </w:tc>
        <w:tc>
          <w:tcPr>
            <w:tcW w:w="743" w:type="pct"/>
          </w:tcPr>
          <w:p w:rsidR="00AD4F11" w:rsidRPr="00BC1450" w:rsidRDefault="00DE64A3" w:rsidP="00DE64A3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95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AD4F11" w:rsidRPr="00BC1450" w:rsidRDefault="00AD4F11" w:rsidP="00DE64A3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</w:t>
            </w:r>
            <w:r w:rsidR="00DE64A3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155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312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Ostali rashodi za zaposlene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75.717</w:t>
            </w:r>
          </w:p>
        </w:tc>
        <w:tc>
          <w:tcPr>
            <w:tcW w:w="652" w:type="pct"/>
          </w:tcPr>
          <w:p w:rsidR="00AD4F11" w:rsidRPr="00BC1450" w:rsidRDefault="00A71A2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285.954</w:t>
            </w:r>
          </w:p>
        </w:tc>
        <w:tc>
          <w:tcPr>
            <w:tcW w:w="743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378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156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313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Doprinosi na plaće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325.201</w:t>
            </w:r>
          </w:p>
        </w:tc>
        <w:tc>
          <w:tcPr>
            <w:tcW w:w="652" w:type="pct"/>
          </w:tcPr>
          <w:p w:rsidR="00AD4F11" w:rsidRPr="00BC1450" w:rsidRDefault="00A71A2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296.031</w:t>
            </w:r>
          </w:p>
        </w:tc>
        <w:tc>
          <w:tcPr>
            <w:tcW w:w="743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91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161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321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Naknade troškova zaposlenima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68.920</w:t>
            </w:r>
          </w:p>
        </w:tc>
        <w:tc>
          <w:tcPr>
            <w:tcW w:w="652" w:type="pct"/>
          </w:tcPr>
          <w:p w:rsidR="00AD4F11" w:rsidRPr="00BC1450" w:rsidRDefault="00A71A2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70.383</w:t>
            </w:r>
          </w:p>
        </w:tc>
        <w:tc>
          <w:tcPr>
            <w:tcW w:w="743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102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166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322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Rashodi za materijal i energiju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213.794</w:t>
            </w:r>
          </w:p>
        </w:tc>
        <w:tc>
          <w:tcPr>
            <w:tcW w:w="652" w:type="pct"/>
          </w:tcPr>
          <w:p w:rsidR="00AD4F11" w:rsidRPr="00BC1450" w:rsidRDefault="00A71A2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156.574</w:t>
            </w:r>
          </w:p>
        </w:tc>
        <w:tc>
          <w:tcPr>
            <w:tcW w:w="743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73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174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323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Rashodi za usluge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449.554</w:t>
            </w:r>
          </w:p>
        </w:tc>
        <w:tc>
          <w:tcPr>
            <w:tcW w:w="652" w:type="pct"/>
          </w:tcPr>
          <w:p w:rsidR="00AD4F11" w:rsidRPr="00BC1450" w:rsidRDefault="00A71A2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396.315</w:t>
            </w:r>
          </w:p>
        </w:tc>
        <w:tc>
          <w:tcPr>
            <w:tcW w:w="743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88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AD4F11" w:rsidRPr="00BC1450" w:rsidRDefault="00AD4F11" w:rsidP="00DE64A3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</w:t>
            </w:r>
            <w:r w:rsidR="00DE64A3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lastRenderedPageBreak/>
              <w:t>184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324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Naknade troškova osobama izvan radnog odnosa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652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743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  <w:tc>
          <w:tcPr>
            <w:tcW w:w="688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185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329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Ostali nespomenuti rashodi poslovanja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42.850</w:t>
            </w:r>
          </w:p>
        </w:tc>
        <w:tc>
          <w:tcPr>
            <w:tcW w:w="652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</w:t>
            </w:r>
            <w:r w:rsidR="00A71A2F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1.693</w:t>
            </w:r>
          </w:p>
        </w:tc>
        <w:tc>
          <w:tcPr>
            <w:tcW w:w="743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97%</w:t>
            </w:r>
          </w:p>
        </w:tc>
        <w:tc>
          <w:tcPr>
            <w:tcW w:w="688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207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343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Ostali financijski rashodi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4.149</w:t>
            </w:r>
          </w:p>
        </w:tc>
        <w:tc>
          <w:tcPr>
            <w:tcW w:w="652" w:type="pct"/>
          </w:tcPr>
          <w:p w:rsidR="00AD4F11" w:rsidRPr="00BC1450" w:rsidRDefault="00D741F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5.026</w:t>
            </w:r>
          </w:p>
        </w:tc>
        <w:tc>
          <w:tcPr>
            <w:tcW w:w="743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121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355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421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Građevinski objekti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652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743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00%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 </w:t>
            </w:r>
          </w:p>
        </w:tc>
        <w:tc>
          <w:tcPr>
            <w:tcW w:w="688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360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422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Postrojenja i oprema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60.967</w:t>
            </w:r>
          </w:p>
        </w:tc>
        <w:tc>
          <w:tcPr>
            <w:tcW w:w="652" w:type="pct"/>
          </w:tcPr>
          <w:p w:rsidR="00AD4F11" w:rsidRPr="00BC1450" w:rsidRDefault="00D741F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72.719</w:t>
            </w:r>
          </w:p>
        </w:tc>
        <w:tc>
          <w:tcPr>
            <w:tcW w:w="743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119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374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424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713" w:type="pct"/>
          </w:tcPr>
          <w:p w:rsidR="00AD4F11" w:rsidRPr="00BC1450" w:rsidRDefault="00AD4F11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279.503</w:t>
            </w:r>
          </w:p>
        </w:tc>
        <w:tc>
          <w:tcPr>
            <w:tcW w:w="652" w:type="pct"/>
          </w:tcPr>
          <w:p w:rsidR="00AD4F11" w:rsidRPr="00BC1450" w:rsidRDefault="00D741F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294.041</w:t>
            </w:r>
          </w:p>
        </w:tc>
        <w:tc>
          <w:tcPr>
            <w:tcW w:w="743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105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688" w:type="pct"/>
          </w:tcPr>
          <w:p w:rsidR="00AD4F11" w:rsidRPr="00BC1450" w:rsidRDefault="00DE64A3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</w:t>
            </w:r>
            <w:r w:rsidR="00AD4F11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AD4F11" w:rsidRPr="00BC1450" w:rsidTr="00D741F6">
        <w:tc>
          <w:tcPr>
            <w:tcW w:w="362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404</w:t>
            </w:r>
          </w:p>
        </w:tc>
        <w:tc>
          <w:tcPr>
            <w:tcW w:w="32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516" w:type="pct"/>
          </w:tcPr>
          <w:p w:rsidR="00AD4F11" w:rsidRPr="00BC1450" w:rsidRDefault="00AD4F11" w:rsidP="00BC1450">
            <w:pPr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UKUPNI RASHODI</w:t>
            </w:r>
          </w:p>
        </w:tc>
        <w:tc>
          <w:tcPr>
            <w:tcW w:w="713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3.</w:t>
            </w:r>
            <w:r w:rsidR="00D741F6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411.356</w:t>
            </w:r>
          </w:p>
        </w:tc>
        <w:tc>
          <w:tcPr>
            <w:tcW w:w="652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3.</w:t>
            </w:r>
            <w:r w:rsidR="00D741F6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406.369</w:t>
            </w:r>
          </w:p>
        </w:tc>
        <w:tc>
          <w:tcPr>
            <w:tcW w:w="743" w:type="pct"/>
          </w:tcPr>
          <w:p w:rsidR="00AD4F11" w:rsidRPr="00BC1450" w:rsidRDefault="00AD4F11" w:rsidP="005F455C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</w:t>
            </w:r>
            <w:r w:rsidR="005F455C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  <w:tc>
          <w:tcPr>
            <w:tcW w:w="688" w:type="pct"/>
          </w:tcPr>
          <w:p w:rsidR="00AD4F11" w:rsidRPr="00BC1450" w:rsidRDefault="00AD4F1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100%</w:t>
            </w:r>
          </w:p>
        </w:tc>
      </w:tr>
    </w:tbl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U strukturi rashoda najznačajnije su plaće (bruto) u </w:t>
      </w:r>
      <w:r w:rsidR="00D741F6">
        <w:rPr>
          <w:rFonts w:ascii="Century Gothic" w:eastAsia="Times New Roman" w:hAnsi="Century Gothic" w:cs="Times New Roman"/>
          <w:color w:val="1F497D"/>
          <w:sz w:val="20"/>
          <w:szCs w:val="20"/>
        </w:rPr>
        <w:t>visini od 1.787.633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 što čini 5</w:t>
      </w:r>
      <w:r w:rsidR="00DE64A3">
        <w:rPr>
          <w:rFonts w:ascii="Century Gothic" w:eastAsia="Times New Roman" w:hAnsi="Century Gothic" w:cs="Times New Roman"/>
          <w:color w:val="1F497D"/>
          <w:sz w:val="20"/>
          <w:szCs w:val="20"/>
        </w:rPr>
        <w:t>2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% ukupnih rashoda izvještajnog razdoblja.</w:t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U izvještajnom razdoblju </w:t>
      </w:r>
      <w:r w:rsidR="00FB732C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nije bilo promjene u visini 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ostvaren</w:t>
      </w:r>
      <w:r w:rsidR="00FB732C">
        <w:rPr>
          <w:rFonts w:ascii="Century Gothic" w:eastAsia="Times New Roman" w:hAnsi="Century Gothic" w:cs="Times New Roman"/>
          <w:color w:val="1F497D"/>
          <w:sz w:val="20"/>
          <w:szCs w:val="20"/>
        </w:rPr>
        <w:t>Ih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rashod</w:t>
      </w:r>
      <w:r w:rsidR="00FB732C">
        <w:rPr>
          <w:rFonts w:ascii="Century Gothic" w:eastAsia="Times New Roman" w:hAnsi="Century Gothic" w:cs="Times New Roman"/>
          <w:color w:val="1F497D"/>
          <w:sz w:val="20"/>
          <w:szCs w:val="20"/>
        </w:rPr>
        <w:t>i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u odnosu na prethodno razdoblje.</w:t>
      </w:r>
    </w:p>
    <w:p w:rsid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</w:p>
    <w:p w:rsidR="00BC1450" w:rsidRPr="00BC1450" w:rsidRDefault="00BC1450" w:rsidP="00BC1450">
      <w:pPr>
        <w:tabs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Bilješka 3. Višak prihoda i primitaka raspoloživ u sljedećem razdoblju - AOP 635</w:t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U izvještajnom razdoblju ostvaren je </w:t>
      </w:r>
      <w:r w:rsidR="00554873">
        <w:rPr>
          <w:rFonts w:ascii="Century Gothic" w:eastAsia="Times New Roman" w:hAnsi="Century Gothic" w:cs="Times New Roman"/>
          <w:color w:val="1F497D"/>
          <w:sz w:val="20"/>
          <w:szCs w:val="20"/>
        </w:rPr>
        <w:t>višak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prihoda u iznosu od </w:t>
      </w:r>
      <w:r w:rsidR="00554873">
        <w:rPr>
          <w:rFonts w:ascii="Century Gothic" w:eastAsia="Times New Roman" w:hAnsi="Century Gothic" w:cs="Times New Roman"/>
          <w:color w:val="1F497D"/>
          <w:sz w:val="20"/>
          <w:szCs w:val="20"/>
        </w:rPr>
        <w:t>35.113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 , preneseni </w:t>
      </w:r>
      <w:r w:rsidR="00554873">
        <w:rPr>
          <w:rFonts w:ascii="Century Gothic" w:eastAsia="Times New Roman" w:hAnsi="Century Gothic" w:cs="Times New Roman"/>
          <w:color w:val="1F497D"/>
          <w:sz w:val="20"/>
          <w:szCs w:val="20"/>
        </w:rPr>
        <w:t>manjak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prihoda </w:t>
      </w:r>
      <w:r w:rsidR="00554873">
        <w:rPr>
          <w:rFonts w:ascii="Century Gothic" w:eastAsia="Times New Roman" w:hAnsi="Century Gothic" w:cs="Times New Roman"/>
          <w:color w:val="1F497D"/>
          <w:sz w:val="20"/>
          <w:szCs w:val="20"/>
        </w:rPr>
        <w:t>iz predhodne godine iznosi 32.856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kn, što je ukupno ostvareni </w:t>
      </w:r>
      <w:r w:rsidR="00554873">
        <w:rPr>
          <w:rFonts w:ascii="Century Gothic" w:eastAsia="Times New Roman" w:hAnsi="Century Gothic" w:cs="Times New Roman"/>
          <w:color w:val="1F497D"/>
          <w:sz w:val="20"/>
          <w:szCs w:val="20"/>
        </w:rPr>
        <w:t>VIŠ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K PRIHODA I PRIMITAKA za pokriće u sljede</w:t>
      </w:r>
      <w:r w:rsidR="00554873">
        <w:rPr>
          <w:rFonts w:ascii="Century Gothic" w:eastAsia="Times New Roman" w:hAnsi="Century Gothic" w:cs="Times New Roman"/>
          <w:color w:val="1F497D"/>
          <w:sz w:val="20"/>
          <w:szCs w:val="20"/>
        </w:rPr>
        <w:t>ćem razdoblju u iznosu od 2.257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kn.</w:t>
      </w:r>
    </w:p>
    <w:p w:rsid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2. BILANCA</w:t>
      </w:r>
    </w:p>
    <w:p w:rsidR="00BC1450" w:rsidRPr="00BC1450" w:rsidRDefault="00BC1450" w:rsidP="00BC1450">
      <w:pPr>
        <w:tabs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Bilješka 4. Imovina - AOP 001</w:t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Ukupna vrijednost Imovine na kraju izvještajnog razdoblja iznosi 1.</w:t>
      </w:r>
      <w:r w:rsidR="00775502">
        <w:rPr>
          <w:rFonts w:ascii="Century Gothic" w:eastAsia="Times New Roman" w:hAnsi="Century Gothic" w:cs="Times New Roman"/>
          <w:color w:val="1F497D"/>
          <w:sz w:val="20"/>
          <w:szCs w:val="20"/>
        </w:rPr>
        <w:t>832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.3</w:t>
      </w:r>
      <w:r w:rsidR="00775502">
        <w:rPr>
          <w:rFonts w:ascii="Century Gothic" w:eastAsia="Times New Roman" w:hAnsi="Century Gothic" w:cs="Times New Roman"/>
          <w:color w:val="1F497D"/>
          <w:sz w:val="20"/>
          <w:szCs w:val="20"/>
        </w:rPr>
        <w:t>47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 i imaju sljedeću strukturu: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tbl>
      <w:tblPr>
        <w:tblStyle w:val="Reetkatablice"/>
        <w:tblW w:w="0" w:type="auto"/>
        <w:tblInd w:w="108" w:type="dxa"/>
        <w:tblLook w:val="04A0"/>
      </w:tblPr>
      <w:tblGrid>
        <w:gridCol w:w="709"/>
        <w:gridCol w:w="604"/>
        <w:gridCol w:w="2373"/>
        <w:gridCol w:w="1459"/>
        <w:gridCol w:w="1459"/>
        <w:gridCol w:w="1177"/>
        <w:gridCol w:w="1177"/>
      </w:tblGrid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AOP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Rač</w:t>
            </w:r>
          </w:p>
        </w:tc>
        <w:tc>
          <w:tcPr>
            <w:tcW w:w="2373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Opis</w:t>
            </w:r>
          </w:p>
        </w:tc>
        <w:tc>
          <w:tcPr>
            <w:tcW w:w="4095" w:type="dxa"/>
            <w:gridSpan w:val="3"/>
          </w:tcPr>
          <w:p w:rsidR="00BC1450" w:rsidRPr="00BC1450" w:rsidRDefault="00BC1450" w:rsidP="00BC1450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Stanje</w:t>
            </w:r>
          </w:p>
        </w:tc>
        <w:tc>
          <w:tcPr>
            <w:tcW w:w="1177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Strukt. 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2373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1459" w:type="dxa"/>
          </w:tcPr>
          <w:p w:rsidR="00BC1450" w:rsidRPr="00BC1450" w:rsidRDefault="00BC1450" w:rsidP="009509CF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01.01.201</w:t>
            </w:r>
            <w:r w:rsidR="009509CF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.g.</w:t>
            </w:r>
          </w:p>
        </w:tc>
        <w:tc>
          <w:tcPr>
            <w:tcW w:w="1459" w:type="dxa"/>
          </w:tcPr>
          <w:p w:rsidR="00BC1450" w:rsidRPr="00BC1450" w:rsidRDefault="009509CF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31.12.2019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.g.</w:t>
            </w:r>
          </w:p>
        </w:tc>
        <w:tc>
          <w:tcPr>
            <w:tcW w:w="1177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008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021</w:t>
            </w:r>
          </w:p>
        </w:tc>
        <w:tc>
          <w:tcPr>
            <w:tcW w:w="2373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Građevinski objekti</w:t>
            </w:r>
          </w:p>
        </w:tc>
        <w:tc>
          <w:tcPr>
            <w:tcW w:w="1459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459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177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 </w:t>
            </w:r>
          </w:p>
        </w:tc>
        <w:tc>
          <w:tcPr>
            <w:tcW w:w="1177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014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022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Postrojenja i oprema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145.691</w:t>
            </w:r>
          </w:p>
        </w:tc>
        <w:tc>
          <w:tcPr>
            <w:tcW w:w="1459" w:type="dxa"/>
          </w:tcPr>
          <w:p w:rsidR="00150A3B" w:rsidRPr="00BC1450" w:rsidRDefault="00FF108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42.957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9%</w:t>
            </w:r>
          </w:p>
        </w:tc>
        <w:tc>
          <w:tcPr>
            <w:tcW w:w="1177" w:type="dxa"/>
          </w:tcPr>
          <w:p w:rsidR="00150A3B" w:rsidRPr="00BC1450" w:rsidRDefault="008D3A87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024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023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Prijevozna sredstva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459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 </w:t>
            </w:r>
          </w:p>
        </w:tc>
        <w:tc>
          <w:tcPr>
            <w:tcW w:w="1177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030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024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1.154.282</w:t>
            </w:r>
          </w:p>
        </w:tc>
        <w:tc>
          <w:tcPr>
            <w:tcW w:w="1459" w:type="dxa"/>
          </w:tcPr>
          <w:p w:rsidR="00150A3B" w:rsidRPr="00BC1450" w:rsidRDefault="00FF108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1.547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</w:t>
            </w: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712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134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150A3B" w:rsidRPr="00BC1450" w:rsidRDefault="008D3A87" w:rsidP="008D3A87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85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040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026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Nematerijalna proizvedena imovina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459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 </w:t>
            </w:r>
          </w:p>
        </w:tc>
        <w:tc>
          <w:tcPr>
            <w:tcW w:w="1177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065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111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Novac u banci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4.671</w:t>
            </w:r>
          </w:p>
        </w:tc>
        <w:tc>
          <w:tcPr>
            <w:tcW w:w="1459" w:type="dxa"/>
          </w:tcPr>
          <w:p w:rsidR="00150A3B" w:rsidRPr="00BC1450" w:rsidRDefault="00FF108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071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113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Novac u blagajni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459" w:type="dxa"/>
          </w:tcPr>
          <w:p w:rsidR="00150A3B" w:rsidRPr="00BC1450" w:rsidRDefault="00FF108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2.509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100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080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129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Ostala potraživanja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572</w:t>
            </w:r>
          </w:p>
        </w:tc>
        <w:tc>
          <w:tcPr>
            <w:tcW w:w="1459" w:type="dxa"/>
          </w:tcPr>
          <w:p w:rsidR="00150A3B" w:rsidRPr="00BC1450" w:rsidRDefault="00FF108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2.867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501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153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166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Potraživanja za prihode od prodaje proizvoda i robe te pruženih usluga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503</w:t>
            </w:r>
          </w:p>
        </w:tc>
        <w:tc>
          <w:tcPr>
            <w:tcW w:w="1459" w:type="dxa"/>
          </w:tcPr>
          <w:p w:rsidR="00150A3B" w:rsidRPr="00BC1450" w:rsidRDefault="00FF108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154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167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 xml:space="preserve">Potraživanja za prihode iz proračuna 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70.553</w:t>
            </w:r>
          </w:p>
        </w:tc>
        <w:tc>
          <w:tcPr>
            <w:tcW w:w="1459" w:type="dxa"/>
          </w:tcPr>
          <w:p w:rsidR="00150A3B" w:rsidRPr="00BC1450" w:rsidRDefault="00FF108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61.437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87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150A3B" w:rsidRPr="00BC1450" w:rsidRDefault="008D3A87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161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193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 xml:space="preserve">Kontinuirani rashodi budućih razdoblja </w:t>
            </w:r>
          </w:p>
        </w:tc>
        <w:tc>
          <w:tcPr>
            <w:tcW w:w="1459" w:type="dxa"/>
          </w:tcPr>
          <w:p w:rsidR="00150A3B" w:rsidRPr="00BC1450" w:rsidRDefault="00150A3B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184.171</w:t>
            </w:r>
          </w:p>
        </w:tc>
        <w:tc>
          <w:tcPr>
            <w:tcW w:w="1459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</w:t>
            </w:r>
            <w:r w:rsidR="00FF108F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74.865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95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150A3B" w:rsidRPr="00BC1450" w:rsidRDefault="008D3A87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150A3B" w:rsidRPr="00BC1450" w:rsidTr="00BC1450">
        <w:tc>
          <w:tcPr>
            <w:tcW w:w="709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001</w:t>
            </w:r>
          </w:p>
        </w:tc>
        <w:tc>
          <w:tcPr>
            <w:tcW w:w="604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2373" w:type="dxa"/>
          </w:tcPr>
          <w:p w:rsidR="00150A3B" w:rsidRPr="00BC1450" w:rsidRDefault="00150A3B" w:rsidP="00BC1450">
            <w:pPr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IMOVINA</w:t>
            </w:r>
          </w:p>
        </w:tc>
        <w:tc>
          <w:tcPr>
            <w:tcW w:w="1459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1.</w:t>
            </w: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560.443</w:t>
            </w:r>
          </w:p>
        </w:tc>
        <w:tc>
          <w:tcPr>
            <w:tcW w:w="1459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1.</w:t>
            </w:r>
            <w:r w:rsidR="00FF108F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832.347</w:t>
            </w:r>
          </w:p>
        </w:tc>
        <w:tc>
          <w:tcPr>
            <w:tcW w:w="1177" w:type="dxa"/>
          </w:tcPr>
          <w:p w:rsidR="00150A3B" w:rsidRPr="00BC1450" w:rsidRDefault="0057641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117</w:t>
            </w:r>
            <w:r w:rsidR="00150A3B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177" w:type="dxa"/>
          </w:tcPr>
          <w:p w:rsidR="00150A3B" w:rsidRPr="00BC1450" w:rsidRDefault="00150A3B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100%</w:t>
            </w:r>
          </w:p>
        </w:tc>
      </w:tr>
    </w:tbl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U strukturi imovine najznačajnije su knjige, umjetnička djela i ostale izložbene vrijednosti u visini od 1.</w:t>
      </w:r>
      <w:r w:rsidR="008D3A87">
        <w:rPr>
          <w:rFonts w:ascii="Century Gothic" w:eastAsia="Times New Roman" w:hAnsi="Century Gothic" w:cs="Times New Roman"/>
          <w:color w:val="1F497D"/>
          <w:sz w:val="20"/>
          <w:szCs w:val="20"/>
        </w:rPr>
        <w:t>547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.</w:t>
      </w:r>
      <w:r w:rsidR="008D3A87">
        <w:rPr>
          <w:rFonts w:ascii="Century Gothic" w:eastAsia="Times New Roman" w:hAnsi="Century Gothic" w:cs="Times New Roman"/>
          <w:color w:val="1F497D"/>
          <w:sz w:val="20"/>
          <w:szCs w:val="20"/>
        </w:rPr>
        <w:t>71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2 kn što čini </w:t>
      </w:r>
      <w:r w:rsidR="008D3A87">
        <w:rPr>
          <w:rFonts w:ascii="Century Gothic" w:eastAsia="Times New Roman" w:hAnsi="Century Gothic" w:cs="Times New Roman"/>
          <w:color w:val="1F497D"/>
          <w:sz w:val="20"/>
          <w:szCs w:val="20"/>
        </w:rPr>
        <w:t>85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% ukupne imovine izvještajnog razdoblja.</w:t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lastRenderedPageBreak/>
        <w:t xml:space="preserve">U izvještajnom razdoblju ostvareno je ukupno povećanje imovine za </w:t>
      </w:r>
      <w:r w:rsidR="008D3A87">
        <w:rPr>
          <w:rFonts w:ascii="Century Gothic" w:eastAsia="Times New Roman" w:hAnsi="Century Gothic" w:cs="Times New Roman"/>
          <w:color w:val="1F497D"/>
          <w:sz w:val="20"/>
          <w:szCs w:val="20"/>
        </w:rPr>
        <w:t>17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% u odnosu na početno stanje.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Bilješka 5. Obveze i vlastiti izvori - AOP 162</w:t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Na zadnji dan izvještajnog razdoblja obveze iznose 2</w:t>
      </w:r>
      <w:r w:rsidR="00FF7820">
        <w:rPr>
          <w:rFonts w:ascii="Century Gothic" w:eastAsia="Times New Roman" w:hAnsi="Century Gothic" w:cs="Times New Roman"/>
          <w:color w:val="1F497D"/>
          <w:sz w:val="20"/>
          <w:szCs w:val="20"/>
        </w:rPr>
        <w:t>39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.</w:t>
      </w:r>
      <w:r w:rsidR="00FF7820">
        <w:rPr>
          <w:rFonts w:ascii="Century Gothic" w:eastAsia="Times New Roman" w:hAnsi="Century Gothic" w:cs="Times New Roman"/>
          <w:color w:val="1F497D"/>
          <w:sz w:val="20"/>
          <w:szCs w:val="20"/>
        </w:rPr>
        <w:t>421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kn, a vlastiti izvori iznose 1.</w:t>
      </w:r>
      <w:r w:rsidR="00FF7820">
        <w:rPr>
          <w:rFonts w:ascii="Century Gothic" w:eastAsia="Times New Roman" w:hAnsi="Century Gothic" w:cs="Times New Roman"/>
          <w:color w:val="1F497D"/>
          <w:sz w:val="20"/>
          <w:szCs w:val="20"/>
        </w:rPr>
        <w:t>592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.9</w:t>
      </w:r>
      <w:r w:rsidR="00FF7820">
        <w:rPr>
          <w:rFonts w:ascii="Century Gothic" w:eastAsia="Times New Roman" w:hAnsi="Century Gothic" w:cs="Times New Roman"/>
          <w:color w:val="1F497D"/>
          <w:sz w:val="20"/>
          <w:szCs w:val="20"/>
        </w:rPr>
        <w:t>26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kn, ukupna vrijedno</w:t>
      </w:r>
      <w:r w:rsidR="00FF7820">
        <w:rPr>
          <w:rFonts w:ascii="Century Gothic" w:eastAsia="Times New Roman" w:hAnsi="Century Gothic" w:cs="Times New Roman"/>
          <w:color w:val="1F497D"/>
          <w:sz w:val="20"/>
          <w:szCs w:val="20"/>
        </w:rPr>
        <w:t>st imovine i izvora je 1.832.347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  i ima sljedeću strukturu: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tbl>
      <w:tblPr>
        <w:tblStyle w:val="Reetkatablice"/>
        <w:tblW w:w="0" w:type="auto"/>
        <w:tblInd w:w="108" w:type="dxa"/>
        <w:tblLook w:val="04A0"/>
      </w:tblPr>
      <w:tblGrid>
        <w:gridCol w:w="709"/>
        <w:gridCol w:w="604"/>
        <w:gridCol w:w="2231"/>
        <w:gridCol w:w="1459"/>
        <w:gridCol w:w="1459"/>
        <w:gridCol w:w="1188"/>
        <w:gridCol w:w="1207"/>
      </w:tblGrid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AOP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Rač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Opis</w:t>
            </w:r>
          </w:p>
        </w:tc>
        <w:tc>
          <w:tcPr>
            <w:tcW w:w="4106" w:type="dxa"/>
            <w:gridSpan w:val="3"/>
          </w:tcPr>
          <w:p w:rsidR="00BC1450" w:rsidRPr="00BC1450" w:rsidRDefault="00BC1450" w:rsidP="00BC1450">
            <w:pPr>
              <w:jc w:val="center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Stanje</w:t>
            </w:r>
          </w:p>
        </w:tc>
        <w:tc>
          <w:tcPr>
            <w:tcW w:w="1207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Strukt. 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  <w:tc>
          <w:tcPr>
            <w:tcW w:w="1459" w:type="dxa"/>
          </w:tcPr>
          <w:p w:rsidR="00BC1450" w:rsidRPr="00BC1450" w:rsidRDefault="00BC1450" w:rsidP="00F20696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01.01.201</w:t>
            </w:r>
            <w:r w:rsidR="00F20696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.g.</w:t>
            </w:r>
          </w:p>
        </w:tc>
        <w:tc>
          <w:tcPr>
            <w:tcW w:w="1459" w:type="dxa"/>
          </w:tcPr>
          <w:p w:rsidR="00BC1450" w:rsidRPr="00BC1450" w:rsidRDefault="00BC1450" w:rsidP="00F20696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31.12.201</w:t>
            </w:r>
            <w:r w:rsidR="00F20696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.g.</w:t>
            </w:r>
          </w:p>
        </w:tc>
        <w:tc>
          <w:tcPr>
            <w:tcW w:w="1188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165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231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Obveze za zaposlene</w:t>
            </w:r>
          </w:p>
        </w:tc>
        <w:tc>
          <w:tcPr>
            <w:tcW w:w="1459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</w:t>
            </w:r>
            <w:r w:rsidR="00F20696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79.291</w:t>
            </w:r>
          </w:p>
        </w:tc>
        <w:tc>
          <w:tcPr>
            <w:tcW w:w="1459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17</w:t>
            </w:r>
            <w:r w:rsidR="00F20696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0.095</w:t>
            </w:r>
          </w:p>
        </w:tc>
        <w:tc>
          <w:tcPr>
            <w:tcW w:w="1188" w:type="dxa"/>
          </w:tcPr>
          <w:p w:rsidR="00BC1450" w:rsidRPr="00BC1450" w:rsidRDefault="00BC1450" w:rsidP="00D9711F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</w:t>
            </w:r>
            <w:r w:rsidR="00D9711F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BC1450" w:rsidRPr="00BC1450" w:rsidRDefault="00A53C70" w:rsidP="00A53C7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166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232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Obveze za materijalne rashode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85.091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61.864</w:t>
            </w:r>
          </w:p>
        </w:tc>
        <w:tc>
          <w:tcPr>
            <w:tcW w:w="1188" w:type="dxa"/>
          </w:tcPr>
          <w:p w:rsidR="00BC1450" w:rsidRPr="00BC1450" w:rsidRDefault="00BC1450" w:rsidP="00D9711F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</w:t>
            </w:r>
            <w:r w:rsidR="00D9711F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BC1450" w:rsidRPr="00BC1450" w:rsidRDefault="00A53C7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167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234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Obveze za financijske rashode</w:t>
            </w:r>
          </w:p>
        </w:tc>
        <w:tc>
          <w:tcPr>
            <w:tcW w:w="1459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499</w:t>
            </w:r>
          </w:p>
        </w:tc>
        <w:tc>
          <w:tcPr>
            <w:tcW w:w="1188" w:type="dxa"/>
          </w:tcPr>
          <w:p w:rsidR="00BC1450" w:rsidRPr="00BC1450" w:rsidRDefault="00D9711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100%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 </w:t>
            </w:r>
          </w:p>
        </w:tc>
        <w:tc>
          <w:tcPr>
            <w:tcW w:w="1207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174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239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Ostale tekuće obveze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5.243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5.376</w:t>
            </w:r>
          </w:p>
        </w:tc>
        <w:tc>
          <w:tcPr>
            <w:tcW w:w="1188" w:type="dxa"/>
          </w:tcPr>
          <w:p w:rsidR="00BC1450" w:rsidRPr="00BC1450" w:rsidRDefault="00D9711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102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175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24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Obveze za nabavu nefinancijske imovine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23.198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1.587</w:t>
            </w:r>
          </w:p>
        </w:tc>
        <w:tc>
          <w:tcPr>
            <w:tcW w:w="1188" w:type="dxa"/>
          </w:tcPr>
          <w:p w:rsidR="00BC1450" w:rsidRPr="00BC1450" w:rsidRDefault="00D9711F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7%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 </w:t>
            </w:r>
          </w:p>
        </w:tc>
        <w:tc>
          <w:tcPr>
            <w:tcW w:w="1207" w:type="dxa"/>
          </w:tcPr>
          <w:p w:rsidR="00BC1450" w:rsidRPr="00BC1450" w:rsidRDefault="00A53C7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225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911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Vlastiti izvori</w:t>
            </w:r>
          </w:p>
        </w:tc>
        <w:tc>
          <w:tcPr>
            <w:tcW w:w="1459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</w:t>
            </w:r>
            <w:r w:rsidR="00F20696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.299.972</w:t>
            </w:r>
          </w:p>
        </w:tc>
        <w:tc>
          <w:tcPr>
            <w:tcW w:w="1459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1.</w:t>
            </w:r>
            <w:r w:rsidR="00F20696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590.669</w:t>
            </w:r>
          </w:p>
        </w:tc>
        <w:tc>
          <w:tcPr>
            <w:tcW w:w="1188" w:type="dxa"/>
          </w:tcPr>
          <w:p w:rsidR="00BC1450" w:rsidRPr="00BC1450" w:rsidRDefault="00BC1450" w:rsidP="0044489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</w:t>
            </w:r>
            <w:r w:rsidR="0044489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22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BC1450" w:rsidRPr="00BC1450" w:rsidRDefault="00BC1450" w:rsidP="00A53C7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8</w:t>
            </w:r>
            <w:r w:rsidR="00A53C7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7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232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922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Višak/manjak prihoda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459" w:type="dxa"/>
          </w:tcPr>
          <w:p w:rsidR="00BC1450" w:rsidRPr="00BC1450" w:rsidRDefault="00FF7820" w:rsidP="00FF782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37.641</w:t>
            </w:r>
          </w:p>
        </w:tc>
        <w:tc>
          <w:tcPr>
            <w:tcW w:w="1188" w:type="dxa"/>
          </w:tcPr>
          <w:p w:rsidR="00BC1450" w:rsidRPr="00BC1450" w:rsidRDefault="0044489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  <w:tc>
          <w:tcPr>
            <w:tcW w:w="1207" w:type="dxa"/>
          </w:tcPr>
          <w:p w:rsidR="00BC1450" w:rsidRPr="00BC1450" w:rsidRDefault="00A53C7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237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922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Manjak prihoda poslovanja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-32.856</w:t>
            </w:r>
          </w:p>
        </w:tc>
        <w:tc>
          <w:tcPr>
            <w:tcW w:w="1459" w:type="dxa"/>
          </w:tcPr>
          <w:p w:rsidR="00BC1450" w:rsidRPr="00BC1450" w:rsidRDefault="00FF782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BC1450" w:rsidRPr="00BC1450" w:rsidRDefault="008B7C51" w:rsidP="00612E97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  <w:r w:rsidR="00612E97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 </w:t>
            </w:r>
          </w:p>
        </w:tc>
        <w:tc>
          <w:tcPr>
            <w:tcW w:w="1207" w:type="dxa"/>
          </w:tcPr>
          <w:p w:rsidR="00BC1450" w:rsidRPr="00BC1450" w:rsidRDefault="00930ADD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</w:t>
            </w:r>
            <w:r w:rsidR="00A53C7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</w:tr>
      <w:tr w:rsidR="00FF7820" w:rsidRPr="00BC1450" w:rsidTr="00BC1450">
        <w:tc>
          <w:tcPr>
            <w:tcW w:w="709" w:type="dxa"/>
          </w:tcPr>
          <w:p w:rsidR="00FF7820" w:rsidRPr="00BC1450" w:rsidRDefault="00FF782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238</w:t>
            </w:r>
          </w:p>
        </w:tc>
        <w:tc>
          <w:tcPr>
            <w:tcW w:w="604" w:type="dxa"/>
          </w:tcPr>
          <w:p w:rsidR="00FF7820" w:rsidRPr="00BC1450" w:rsidRDefault="00FF782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922</w:t>
            </w:r>
          </w:p>
        </w:tc>
        <w:tc>
          <w:tcPr>
            <w:tcW w:w="2231" w:type="dxa"/>
          </w:tcPr>
          <w:p w:rsidR="00FF7820" w:rsidRPr="00BC1450" w:rsidRDefault="008B7C51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Manjak prihoda od nefinancijske imovine</w:t>
            </w:r>
          </w:p>
        </w:tc>
        <w:tc>
          <w:tcPr>
            <w:tcW w:w="1459" w:type="dxa"/>
          </w:tcPr>
          <w:p w:rsidR="00FF7820" w:rsidRDefault="008B7C5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459" w:type="dxa"/>
          </w:tcPr>
          <w:p w:rsidR="00FF7820" w:rsidRDefault="001F23C2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-</w:t>
            </w:r>
            <w:r w:rsidR="008B7C51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35</w:t>
            </w: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.</w:t>
            </w:r>
            <w:r w:rsidR="008B7C51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384</w:t>
            </w:r>
          </w:p>
        </w:tc>
        <w:tc>
          <w:tcPr>
            <w:tcW w:w="1188" w:type="dxa"/>
          </w:tcPr>
          <w:p w:rsidR="00FF7820" w:rsidRPr="00BC1450" w:rsidRDefault="008B7C51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100%</w:t>
            </w:r>
          </w:p>
        </w:tc>
        <w:tc>
          <w:tcPr>
            <w:tcW w:w="1207" w:type="dxa"/>
          </w:tcPr>
          <w:p w:rsidR="00FF7820" w:rsidRPr="00BC1450" w:rsidRDefault="001F23C2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-</w:t>
            </w:r>
            <w:r w:rsidR="00A53C7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19%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240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96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Obračunati prihodi poslovanja</w:t>
            </w:r>
          </w:p>
        </w:tc>
        <w:tc>
          <w:tcPr>
            <w:tcW w:w="1459" w:type="dxa"/>
          </w:tcPr>
          <w:p w:rsidR="00BC1450" w:rsidRPr="00BC1450" w:rsidRDefault="00F20696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503</w:t>
            </w:r>
          </w:p>
        </w:tc>
        <w:tc>
          <w:tcPr>
            <w:tcW w:w="1459" w:type="dxa"/>
          </w:tcPr>
          <w:p w:rsidR="00BC1450" w:rsidRPr="00BC1450" w:rsidRDefault="00FF782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</w:p>
        </w:tc>
        <w:tc>
          <w:tcPr>
            <w:tcW w:w="1188" w:type="dxa"/>
          </w:tcPr>
          <w:p w:rsidR="00BC1450" w:rsidRPr="00BC1450" w:rsidRDefault="0044489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</w:t>
            </w:r>
            <w:r w:rsidR="00BC1450"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0%</w:t>
            </w:r>
          </w:p>
        </w:tc>
      </w:tr>
      <w:tr w:rsidR="00BC1450" w:rsidRPr="00BC1450" w:rsidTr="00BC1450">
        <w:tc>
          <w:tcPr>
            <w:tcW w:w="709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162</w:t>
            </w:r>
          </w:p>
        </w:tc>
        <w:tc>
          <w:tcPr>
            <w:tcW w:w="604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 </w:t>
            </w:r>
          </w:p>
        </w:tc>
        <w:tc>
          <w:tcPr>
            <w:tcW w:w="2231" w:type="dxa"/>
          </w:tcPr>
          <w:p w:rsidR="00BC1450" w:rsidRPr="00BC1450" w:rsidRDefault="00BC1450" w:rsidP="00BC1450">
            <w:pPr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OBVEZE I VLASTITI IZVORI</w:t>
            </w:r>
          </w:p>
        </w:tc>
        <w:tc>
          <w:tcPr>
            <w:tcW w:w="1459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1.</w:t>
            </w:r>
            <w:r w:rsidR="00F20696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560.442</w:t>
            </w:r>
          </w:p>
        </w:tc>
        <w:tc>
          <w:tcPr>
            <w:tcW w:w="1459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1.</w:t>
            </w:r>
            <w:r w:rsidR="00444890">
              <w:rPr>
                <w:rFonts w:ascii="Century Gothic" w:eastAsia="Times New Roman" w:hAnsi="Century Gothic" w:cs="Times New Roman"/>
                <w:b/>
                <w:bCs/>
                <w:color w:val="1F497D"/>
                <w:sz w:val="20"/>
                <w:szCs w:val="20"/>
              </w:rPr>
              <w:t>832.347</w:t>
            </w:r>
          </w:p>
        </w:tc>
        <w:tc>
          <w:tcPr>
            <w:tcW w:w="1188" w:type="dxa"/>
          </w:tcPr>
          <w:p w:rsidR="00BC1450" w:rsidRPr="00BC1450" w:rsidRDefault="00BC1450" w:rsidP="0044489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</w:t>
            </w:r>
            <w:r w:rsidR="0044489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17</w:t>
            </w: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%</w:t>
            </w:r>
          </w:p>
        </w:tc>
        <w:tc>
          <w:tcPr>
            <w:tcW w:w="1207" w:type="dxa"/>
          </w:tcPr>
          <w:p w:rsidR="00BC1450" w:rsidRPr="00BC1450" w:rsidRDefault="00BC1450" w:rsidP="00BC1450">
            <w:pPr>
              <w:jc w:val="right"/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</w:pPr>
            <w:r w:rsidRPr="00BC1450">
              <w:rPr>
                <w:rFonts w:ascii="Century Gothic" w:eastAsia="Times New Roman" w:hAnsi="Century Gothic" w:cs="Times New Roman"/>
                <w:color w:val="1F497D"/>
                <w:sz w:val="20"/>
                <w:szCs w:val="20"/>
              </w:rPr>
              <w:t>100%</w:t>
            </w:r>
          </w:p>
        </w:tc>
      </w:tr>
    </w:tbl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191FB0" w:rsidRDefault="00191FB0" w:rsidP="00BC1450">
      <w:pPr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</w:p>
    <w:p w:rsidR="00BC1450" w:rsidRPr="00BC1450" w:rsidRDefault="00BC1450" w:rsidP="00BC1450">
      <w:pPr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3. IZVJEŠTAJ O PROMJENAMA U VRIJEDNOSTI</w:t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br/>
        <w:t>I OBUJMU IMOVINE I OBVEZA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Bilješka 6. Promjene u vrijednosti i obujmu imovine  - AOP 001</w:t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Povećanje obujma imovine iznosi </w:t>
      </w:r>
      <w:r w:rsidR="00FF7820">
        <w:rPr>
          <w:rFonts w:ascii="Century Gothic" w:eastAsia="Times New Roman" w:hAnsi="Century Gothic" w:cs="Times New Roman"/>
          <w:color w:val="1F497D"/>
          <w:sz w:val="20"/>
          <w:szCs w:val="20"/>
        </w:rPr>
        <w:t>99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>.</w:t>
      </w:r>
      <w:r w:rsidR="00FF7820">
        <w:rPr>
          <w:rFonts w:ascii="Century Gothic" w:eastAsia="Times New Roman" w:hAnsi="Century Gothic" w:cs="Times New Roman"/>
          <w:color w:val="1F497D"/>
          <w:sz w:val="20"/>
          <w:szCs w:val="20"/>
        </w:rPr>
        <w:t>389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kn, a  odnosi se na poklonjene i donirane knjige.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4.  IZVJEŠTAJ O OBVEZAMA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Bilješka 7. Promjene u vrijednosti i obujmu imovine  - AOP 001</w:t>
      </w:r>
      <w:r w:rsidRPr="00BC1450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Stanje nedospjelih obveza na kraju izvještajnog razdoblja iznosi </w:t>
      </w:r>
      <w:r w:rsidR="00DF6A71">
        <w:rPr>
          <w:rFonts w:ascii="Century Gothic" w:eastAsia="Times New Roman" w:hAnsi="Century Gothic" w:cs="Times New Roman"/>
          <w:color w:val="1F497D"/>
          <w:sz w:val="20"/>
          <w:szCs w:val="20"/>
        </w:rPr>
        <w:t>207.167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kn, a odnosi na obveza za uplatu u gradski proračun u iznosu od 5.3</w:t>
      </w:r>
      <w:r w:rsidR="00DF6A71">
        <w:rPr>
          <w:rFonts w:ascii="Century Gothic" w:eastAsia="Times New Roman" w:hAnsi="Century Gothic" w:cs="Times New Roman"/>
          <w:color w:val="1F497D"/>
          <w:sz w:val="20"/>
          <w:szCs w:val="20"/>
        </w:rPr>
        <w:t>76</w:t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 xml:space="preserve"> kn i obveza za poslovne r</w:t>
      </w:r>
      <w:r w:rsidR="00DF6A71">
        <w:rPr>
          <w:rFonts w:ascii="Century Gothic" w:eastAsia="Times New Roman" w:hAnsi="Century Gothic" w:cs="Times New Roman"/>
          <w:color w:val="1F497D"/>
          <w:sz w:val="20"/>
          <w:szCs w:val="20"/>
        </w:rPr>
        <w:t>ashode u iznosu od 201.791 kn.</w:t>
      </w:r>
    </w:p>
    <w:p w:rsid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</w:p>
    <w:p w:rsidR="00BC1450" w:rsidRDefault="00BC1450" w:rsidP="00BC1450">
      <w:pPr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  <w:r w:rsidRPr="006510BB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lastRenderedPageBreak/>
        <w:t>5.  PREGLED SUDSKIH SPOROVA</w:t>
      </w:r>
    </w:p>
    <w:p w:rsidR="00BC1450" w:rsidRDefault="00BC1450" w:rsidP="00BC1450">
      <w:pPr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</w:p>
    <w:p w:rsidR="00BC1450" w:rsidRPr="00BC1450" w:rsidRDefault="00BC1450" w:rsidP="00BC1450">
      <w:pPr>
        <w:spacing w:after="0" w:line="240" w:lineRule="auto"/>
        <w:ind w:left="108"/>
        <w:rPr>
          <w:rFonts w:ascii="Century Gothic" w:eastAsia="Times New Roman" w:hAnsi="Century Gothic" w:cs="Times New Roman"/>
          <w:bCs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bCs/>
          <w:color w:val="1F497D"/>
          <w:sz w:val="20"/>
          <w:szCs w:val="20"/>
        </w:rPr>
        <w:t>Sudskih sporova nema</w:t>
      </w:r>
    </w:p>
    <w:p w:rsidR="00BC1450" w:rsidRPr="006510BB" w:rsidRDefault="00BC1450" w:rsidP="00BC1450">
      <w:pPr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</w:p>
    <w:p w:rsidR="00BC1450" w:rsidRDefault="00BC1450" w:rsidP="00BC1450">
      <w:pPr>
        <w:tabs>
          <w:tab w:val="left" w:pos="6979"/>
          <w:tab w:val="left" w:pos="8438"/>
          <w:tab w:val="left" w:pos="9142"/>
        </w:tabs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  <w:r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6</w:t>
      </w:r>
      <w:r w:rsidRPr="006510BB"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 xml:space="preserve">.  </w:t>
      </w:r>
      <w:r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  <w:t>POPIS UGOVORNIH ODNOSA</w:t>
      </w:r>
    </w:p>
    <w:p w:rsidR="00BC1450" w:rsidRDefault="00BC1450" w:rsidP="00BC1450">
      <w:pPr>
        <w:tabs>
          <w:tab w:val="left" w:pos="6979"/>
          <w:tab w:val="left" w:pos="8438"/>
          <w:tab w:val="left" w:pos="9142"/>
        </w:tabs>
        <w:spacing w:after="0" w:line="240" w:lineRule="auto"/>
        <w:ind w:left="108"/>
        <w:jc w:val="center"/>
        <w:rPr>
          <w:rFonts w:ascii="Century Gothic" w:eastAsia="Times New Roman" w:hAnsi="Century Gothic" w:cs="Times New Roman"/>
          <w:b/>
          <w:bCs/>
          <w:color w:val="1F497D"/>
          <w:sz w:val="20"/>
          <w:szCs w:val="20"/>
        </w:rPr>
      </w:pPr>
    </w:p>
    <w:p w:rsidR="00BC1450" w:rsidRPr="001D6508" w:rsidRDefault="00BC1450" w:rsidP="00BC1450">
      <w:pPr>
        <w:tabs>
          <w:tab w:val="left" w:pos="6979"/>
          <w:tab w:val="left" w:pos="8438"/>
          <w:tab w:val="left" w:pos="9142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 w:themeColor="text2"/>
          <w:sz w:val="20"/>
          <w:szCs w:val="20"/>
        </w:rPr>
      </w:pPr>
      <w:r>
        <w:rPr>
          <w:rFonts w:ascii="Century Gothic" w:hAnsi="Century Gothic"/>
          <w:color w:val="1F497D" w:themeColor="text2"/>
          <w:sz w:val="20"/>
          <w:szCs w:val="20"/>
        </w:rPr>
        <w:t xml:space="preserve">Nema ugovornih odnosa koji uz </w:t>
      </w:r>
      <w:r w:rsidRPr="001D6508">
        <w:rPr>
          <w:rFonts w:ascii="Century Gothic" w:hAnsi="Century Gothic"/>
          <w:color w:val="1F497D" w:themeColor="text2"/>
          <w:sz w:val="20"/>
          <w:szCs w:val="20"/>
        </w:rPr>
        <w:t xml:space="preserve">ispunjenje određenih uvjeta mogu postati </w:t>
      </w:r>
      <w:r w:rsidRPr="001D6508">
        <w:rPr>
          <w:rFonts w:ascii="Century Gothic" w:hAnsi="Century Gothic"/>
          <w:b/>
          <w:bCs/>
          <w:color w:val="1F497D" w:themeColor="text2"/>
          <w:sz w:val="20"/>
          <w:szCs w:val="20"/>
        </w:rPr>
        <w:t xml:space="preserve">obveza ili imovina </w:t>
      </w:r>
      <w:r w:rsidRPr="001D6508">
        <w:rPr>
          <w:rFonts w:ascii="Century Gothic" w:hAnsi="Century Gothic"/>
          <w:color w:val="1F497D" w:themeColor="text2"/>
          <w:sz w:val="20"/>
          <w:szCs w:val="20"/>
        </w:rPr>
        <w:t>(dana kreditna pisma, hipoteke i sl.)</w:t>
      </w:r>
    </w:p>
    <w:p w:rsid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</w:p>
    <w:p w:rsid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  <w:t>Zakonski predstavnik:</w:t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  <w:tab w:val="left" w:pos="8341"/>
          <w:tab w:val="left" w:pos="9045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</w:p>
    <w:p w:rsidR="00BC1450" w:rsidRPr="00BC1450" w:rsidRDefault="00BC1450" w:rsidP="00BC1450">
      <w:pPr>
        <w:tabs>
          <w:tab w:val="left" w:pos="765"/>
          <w:tab w:val="left" w:pos="1369"/>
          <w:tab w:val="left" w:pos="5103"/>
          <w:tab w:val="left" w:pos="6882"/>
        </w:tabs>
        <w:spacing w:after="0" w:line="240" w:lineRule="auto"/>
        <w:ind w:left="108"/>
        <w:rPr>
          <w:rFonts w:ascii="Century Gothic" w:eastAsia="Times New Roman" w:hAnsi="Century Gothic" w:cs="Times New Roman"/>
          <w:color w:val="1F497D"/>
          <w:sz w:val="20"/>
          <w:szCs w:val="20"/>
        </w:rPr>
      </w:pP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</w:r>
      <w:r w:rsidRPr="00BC1450">
        <w:rPr>
          <w:rFonts w:ascii="Century Gothic" w:eastAsia="Times New Roman" w:hAnsi="Century Gothic" w:cs="Times New Roman"/>
          <w:color w:val="1F497D"/>
          <w:sz w:val="20"/>
          <w:szCs w:val="20"/>
        </w:rPr>
        <w:tab/>
        <w:t>Mirjana Dimnjaković</w:t>
      </w:r>
    </w:p>
    <w:p w:rsidR="00245918" w:rsidRDefault="00245918"/>
    <w:sectPr w:rsidR="00245918" w:rsidSect="00BA2A1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BC1450"/>
    <w:rsid w:val="00000E89"/>
    <w:rsid w:val="00076CD7"/>
    <w:rsid w:val="000A094D"/>
    <w:rsid w:val="00133678"/>
    <w:rsid w:val="00150A3B"/>
    <w:rsid w:val="00191FB0"/>
    <w:rsid w:val="001D17AE"/>
    <w:rsid w:val="001F23C2"/>
    <w:rsid w:val="002043E2"/>
    <w:rsid w:val="00204A20"/>
    <w:rsid w:val="00217B63"/>
    <w:rsid w:val="00245918"/>
    <w:rsid w:val="00256852"/>
    <w:rsid w:val="0027771C"/>
    <w:rsid w:val="00312DCD"/>
    <w:rsid w:val="003336CD"/>
    <w:rsid w:val="003600F6"/>
    <w:rsid w:val="00374F9C"/>
    <w:rsid w:val="00381A70"/>
    <w:rsid w:val="003F146D"/>
    <w:rsid w:val="00413D87"/>
    <w:rsid w:val="004157D4"/>
    <w:rsid w:val="00417C8F"/>
    <w:rsid w:val="0042696A"/>
    <w:rsid w:val="00444890"/>
    <w:rsid w:val="00460307"/>
    <w:rsid w:val="00496B71"/>
    <w:rsid w:val="004B5D2B"/>
    <w:rsid w:val="0052531C"/>
    <w:rsid w:val="00531D96"/>
    <w:rsid w:val="005505FD"/>
    <w:rsid w:val="00554873"/>
    <w:rsid w:val="0057084D"/>
    <w:rsid w:val="005709EA"/>
    <w:rsid w:val="0057641B"/>
    <w:rsid w:val="0058020C"/>
    <w:rsid w:val="00594762"/>
    <w:rsid w:val="00595900"/>
    <w:rsid w:val="005A4ABB"/>
    <w:rsid w:val="005C59DF"/>
    <w:rsid w:val="005D1A5B"/>
    <w:rsid w:val="005F30FB"/>
    <w:rsid w:val="005F455C"/>
    <w:rsid w:val="005F5F80"/>
    <w:rsid w:val="00610D41"/>
    <w:rsid w:val="00612E97"/>
    <w:rsid w:val="0061564D"/>
    <w:rsid w:val="00683944"/>
    <w:rsid w:val="006A65C7"/>
    <w:rsid w:val="006B2DFD"/>
    <w:rsid w:val="0076582A"/>
    <w:rsid w:val="00775502"/>
    <w:rsid w:val="007820A6"/>
    <w:rsid w:val="007A431B"/>
    <w:rsid w:val="007B0CFB"/>
    <w:rsid w:val="007D40E3"/>
    <w:rsid w:val="008543FB"/>
    <w:rsid w:val="008B7C51"/>
    <w:rsid w:val="008D3A87"/>
    <w:rsid w:val="009046B6"/>
    <w:rsid w:val="00930ADD"/>
    <w:rsid w:val="009433F7"/>
    <w:rsid w:val="009509CF"/>
    <w:rsid w:val="00955ADC"/>
    <w:rsid w:val="0098655F"/>
    <w:rsid w:val="00997595"/>
    <w:rsid w:val="009E5D89"/>
    <w:rsid w:val="00A23FD9"/>
    <w:rsid w:val="00A34A07"/>
    <w:rsid w:val="00A53C70"/>
    <w:rsid w:val="00A60A2A"/>
    <w:rsid w:val="00A71A2F"/>
    <w:rsid w:val="00AC50D6"/>
    <w:rsid w:val="00AD4F11"/>
    <w:rsid w:val="00B74613"/>
    <w:rsid w:val="00BA2A1C"/>
    <w:rsid w:val="00BC1450"/>
    <w:rsid w:val="00BD72A2"/>
    <w:rsid w:val="00C4231B"/>
    <w:rsid w:val="00C44542"/>
    <w:rsid w:val="00C56CA3"/>
    <w:rsid w:val="00CA03D5"/>
    <w:rsid w:val="00CA4B60"/>
    <w:rsid w:val="00D21FBE"/>
    <w:rsid w:val="00D23F67"/>
    <w:rsid w:val="00D533CE"/>
    <w:rsid w:val="00D6516E"/>
    <w:rsid w:val="00D741F6"/>
    <w:rsid w:val="00D9711F"/>
    <w:rsid w:val="00DD4F41"/>
    <w:rsid w:val="00DE64A3"/>
    <w:rsid w:val="00DF6A71"/>
    <w:rsid w:val="00E20B05"/>
    <w:rsid w:val="00E31433"/>
    <w:rsid w:val="00E31DFA"/>
    <w:rsid w:val="00EB1479"/>
    <w:rsid w:val="00ED272D"/>
    <w:rsid w:val="00F20696"/>
    <w:rsid w:val="00F4665D"/>
    <w:rsid w:val="00F55478"/>
    <w:rsid w:val="00FB732C"/>
    <w:rsid w:val="00FD2B01"/>
    <w:rsid w:val="00FF108F"/>
    <w:rsid w:val="00FF7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B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C14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9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760D51-A06C-41EC-BC10-D3D91823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Sklemencic</dc:creator>
  <cp:lastModifiedBy>mklisur</cp:lastModifiedBy>
  <cp:revision>2</cp:revision>
  <cp:lastPrinted>2020-03-05T12:23:00Z</cp:lastPrinted>
  <dcterms:created xsi:type="dcterms:W3CDTF">2020-03-06T12:20:00Z</dcterms:created>
  <dcterms:modified xsi:type="dcterms:W3CDTF">2020-03-06T12:20:00Z</dcterms:modified>
</cp:coreProperties>
</file>