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3403" w14:textId="70C6B626" w:rsidR="00D926F7" w:rsidRPr="000241BE" w:rsidRDefault="00AD3CDD" w:rsidP="004F1172">
      <w:pPr>
        <w:spacing w:after="0" w:line="240" w:lineRule="auto"/>
        <w:jc w:val="center"/>
        <w:rPr>
          <w:b/>
          <w:sz w:val="24"/>
          <w:szCs w:val="24"/>
        </w:rPr>
      </w:pPr>
      <w:bookmarkStart w:id="0" w:name="_Toc481750375"/>
      <w:r>
        <w:rPr>
          <w:b/>
          <w:sz w:val="24"/>
          <w:szCs w:val="24"/>
        </w:rPr>
        <w:t xml:space="preserve">3.1. </w:t>
      </w:r>
      <w:r w:rsidR="00D926F7" w:rsidRPr="000241BE">
        <w:rPr>
          <w:b/>
          <w:sz w:val="24"/>
          <w:szCs w:val="24"/>
        </w:rPr>
        <w:t>OBRAZLOŽENJE</w:t>
      </w:r>
      <w:r w:rsidR="004F1172" w:rsidRPr="000241BE">
        <w:rPr>
          <w:b/>
          <w:sz w:val="24"/>
          <w:szCs w:val="24"/>
        </w:rPr>
        <w:t xml:space="preserve"> OPĆEG DIJELA </w:t>
      </w:r>
      <w:r w:rsidR="00D926F7" w:rsidRPr="000241BE">
        <w:rPr>
          <w:b/>
          <w:sz w:val="24"/>
          <w:szCs w:val="24"/>
        </w:rPr>
        <w:t xml:space="preserve"> OSTVARENJA PRIHODA I PRIMITAKA TE RASHODA I IZDATAKA</w:t>
      </w:r>
      <w:bookmarkEnd w:id="0"/>
      <w:r w:rsidR="00D926F7" w:rsidRPr="000241BE">
        <w:rPr>
          <w:b/>
          <w:sz w:val="24"/>
          <w:szCs w:val="24"/>
        </w:rPr>
        <w:t xml:space="preserve"> ZA RAZDOBLJE</w:t>
      </w:r>
    </w:p>
    <w:p w14:paraId="6834F24D" w14:textId="45DD2B4E" w:rsidR="00D926F7" w:rsidRPr="000241BE" w:rsidRDefault="00D926F7" w:rsidP="00E10FFA">
      <w:pPr>
        <w:spacing w:after="0" w:line="240" w:lineRule="auto"/>
        <w:jc w:val="center"/>
        <w:rPr>
          <w:b/>
          <w:sz w:val="24"/>
          <w:szCs w:val="24"/>
        </w:rPr>
      </w:pPr>
      <w:r w:rsidRPr="000241BE">
        <w:rPr>
          <w:b/>
          <w:sz w:val="24"/>
          <w:szCs w:val="24"/>
        </w:rPr>
        <w:t>I.-</w:t>
      </w:r>
      <w:r w:rsidR="00F943D5" w:rsidRPr="000241BE">
        <w:rPr>
          <w:b/>
          <w:sz w:val="24"/>
          <w:szCs w:val="24"/>
        </w:rPr>
        <w:t>XII</w:t>
      </w:r>
      <w:r w:rsidRPr="000241BE">
        <w:rPr>
          <w:b/>
          <w:sz w:val="24"/>
          <w:szCs w:val="24"/>
        </w:rPr>
        <w:t>.202</w:t>
      </w:r>
      <w:r w:rsidR="00E10FFA">
        <w:rPr>
          <w:b/>
          <w:sz w:val="24"/>
          <w:szCs w:val="24"/>
        </w:rPr>
        <w:t>5</w:t>
      </w:r>
      <w:r w:rsidR="000241BE">
        <w:rPr>
          <w:b/>
          <w:sz w:val="24"/>
          <w:szCs w:val="24"/>
        </w:rPr>
        <w:t>.</w:t>
      </w:r>
    </w:p>
    <w:p w14:paraId="16933AC5" w14:textId="77777777" w:rsidR="00FC21FD" w:rsidRPr="000241BE" w:rsidRDefault="00FC21FD">
      <w:pPr>
        <w:rPr>
          <w:sz w:val="24"/>
          <w:szCs w:val="24"/>
        </w:rPr>
      </w:pPr>
    </w:p>
    <w:p w14:paraId="20B35730" w14:textId="77777777" w:rsidR="00FC21FD" w:rsidRDefault="00FC21FD"/>
    <w:p w14:paraId="652FF379" w14:textId="7B9C44AA" w:rsidR="00FC21FD" w:rsidRPr="00764D18" w:rsidRDefault="00FC21FD">
      <w:pPr>
        <w:rPr>
          <w:b/>
          <w:bCs/>
        </w:rPr>
      </w:pPr>
    </w:p>
    <w:p w14:paraId="230132CD" w14:textId="096117C9" w:rsidR="00D926F7" w:rsidRDefault="00FC21FD" w:rsidP="00D926F7">
      <w:pPr>
        <w:pStyle w:val="ListParagraph"/>
        <w:numPr>
          <w:ilvl w:val="0"/>
          <w:numId w:val="1"/>
        </w:numPr>
        <w:rPr>
          <w:b/>
          <w:bCs/>
        </w:rPr>
      </w:pPr>
      <w:r w:rsidRPr="00764D18">
        <w:rPr>
          <w:b/>
          <w:bCs/>
        </w:rPr>
        <w:t xml:space="preserve">PRIHODI </w:t>
      </w:r>
    </w:p>
    <w:p w14:paraId="1FDA8954" w14:textId="5B08B907" w:rsidR="00A05CB8" w:rsidRDefault="00D926F7" w:rsidP="00D926F7">
      <w:r w:rsidRPr="001228D8">
        <w:t xml:space="preserve">Ostvarenje tekućih prihoda Proračuna </w:t>
      </w:r>
      <w:r>
        <w:t xml:space="preserve">POU </w:t>
      </w:r>
      <w:r w:rsidRPr="001228D8">
        <w:t xml:space="preserve"> Samobora za razdoblje od 1. siječnja do </w:t>
      </w:r>
      <w:r w:rsidR="00297CBB">
        <w:t xml:space="preserve">31. prosinca </w:t>
      </w:r>
      <w:r w:rsidRPr="001228D8">
        <w:t xml:space="preserve"> 202</w:t>
      </w:r>
      <w:r w:rsidR="004B391C">
        <w:t>5</w:t>
      </w:r>
      <w:r w:rsidRPr="001228D8">
        <w:t xml:space="preserve">. godine u ukupnom iznosu od </w:t>
      </w:r>
      <w:r w:rsidR="00A05CB8">
        <w:t>1</w:t>
      </w:r>
      <w:r w:rsidR="003753F0">
        <w:t>.714.077</w:t>
      </w:r>
      <w:r w:rsidR="00A05CB8">
        <w:t>.</w:t>
      </w:r>
      <w:r w:rsidR="003753F0">
        <w:t xml:space="preserve">74 </w:t>
      </w:r>
      <w:r>
        <w:t>EUR</w:t>
      </w:r>
      <w:r w:rsidRPr="001228D8">
        <w:t>, s usporednim pokazateljima ostvarenja prihoda i primitaka u istom razdoblju 202</w:t>
      </w:r>
      <w:r w:rsidR="003753F0">
        <w:t>4</w:t>
      </w:r>
      <w:r w:rsidRPr="001228D8">
        <w:t>. godine, je kako slijedi</w:t>
      </w:r>
    </w:p>
    <w:tbl>
      <w:tblPr>
        <w:tblStyle w:val="TableGrid"/>
        <w:tblpPr w:leftFromText="180" w:rightFromText="180" w:vertAnchor="text" w:horzAnchor="margin" w:tblpXSpec="center" w:tblpY="221"/>
        <w:tblW w:w="10923" w:type="dxa"/>
        <w:tblLook w:val="04A0" w:firstRow="1" w:lastRow="0" w:firstColumn="1" w:lastColumn="0" w:noHBand="0" w:noVBand="1"/>
      </w:tblPr>
      <w:tblGrid>
        <w:gridCol w:w="3000"/>
        <w:gridCol w:w="1620"/>
        <w:gridCol w:w="1580"/>
        <w:gridCol w:w="1394"/>
        <w:gridCol w:w="2046"/>
        <w:gridCol w:w="1283"/>
      </w:tblGrid>
      <w:tr w:rsidR="00C4504E" w:rsidRPr="00B1124C" w14:paraId="5B513714" w14:textId="77777777" w:rsidTr="00B1124C">
        <w:trPr>
          <w:trHeight w:val="1170"/>
        </w:trPr>
        <w:tc>
          <w:tcPr>
            <w:tcW w:w="3000" w:type="dxa"/>
            <w:noWrap/>
            <w:hideMark/>
          </w:tcPr>
          <w:p w14:paraId="0D1D8A49" w14:textId="77777777" w:rsidR="00B1124C" w:rsidRPr="00B1124C" w:rsidRDefault="00B1124C" w:rsidP="00B1124C">
            <w:r w:rsidRPr="00B1124C">
              <w:t xml:space="preserve">Naziv </w:t>
            </w:r>
          </w:p>
        </w:tc>
        <w:tc>
          <w:tcPr>
            <w:tcW w:w="1620" w:type="dxa"/>
            <w:noWrap/>
            <w:hideMark/>
          </w:tcPr>
          <w:p w14:paraId="414ED2CF" w14:textId="77777777" w:rsidR="00B1124C" w:rsidRPr="00B1124C" w:rsidRDefault="00B1124C" w:rsidP="00B1124C">
            <w:r w:rsidRPr="00B1124C">
              <w:t>Izvršenje 2024.</w:t>
            </w:r>
          </w:p>
        </w:tc>
        <w:tc>
          <w:tcPr>
            <w:tcW w:w="1580" w:type="dxa"/>
            <w:noWrap/>
            <w:hideMark/>
          </w:tcPr>
          <w:p w14:paraId="07FA2333" w14:textId="77777777" w:rsidR="00B1124C" w:rsidRPr="00B1124C" w:rsidRDefault="00B1124C" w:rsidP="00B1124C">
            <w:r w:rsidRPr="00B1124C">
              <w:t>Plan 2025.</w:t>
            </w:r>
          </w:p>
        </w:tc>
        <w:tc>
          <w:tcPr>
            <w:tcW w:w="1394" w:type="dxa"/>
            <w:noWrap/>
            <w:hideMark/>
          </w:tcPr>
          <w:p w14:paraId="22250065" w14:textId="77777777" w:rsidR="00B1124C" w:rsidRPr="00B1124C" w:rsidRDefault="00B1124C" w:rsidP="00B1124C">
            <w:r w:rsidRPr="00B1124C">
              <w:t>Izvršenje 2025.</w:t>
            </w:r>
          </w:p>
        </w:tc>
        <w:tc>
          <w:tcPr>
            <w:tcW w:w="2046" w:type="dxa"/>
            <w:hideMark/>
          </w:tcPr>
          <w:p w14:paraId="008CE442" w14:textId="77777777" w:rsidR="00B1124C" w:rsidRPr="00B1124C" w:rsidRDefault="00B1124C" w:rsidP="00B1124C">
            <w:r w:rsidRPr="00B1124C">
              <w:t>Indeks/izvrš.25/</w:t>
            </w:r>
            <w:proofErr w:type="spellStart"/>
            <w:r w:rsidRPr="00B1124C">
              <w:t>izvrš</w:t>
            </w:r>
            <w:proofErr w:type="spellEnd"/>
            <w:r w:rsidRPr="00B1124C">
              <w:t xml:space="preserve"> 24</w:t>
            </w:r>
          </w:p>
        </w:tc>
        <w:tc>
          <w:tcPr>
            <w:tcW w:w="1283" w:type="dxa"/>
            <w:hideMark/>
          </w:tcPr>
          <w:p w14:paraId="381D68FB" w14:textId="77777777" w:rsidR="00B1124C" w:rsidRPr="00B1124C" w:rsidRDefault="00B1124C" w:rsidP="00B1124C">
            <w:r w:rsidRPr="00B1124C">
              <w:t>Indeks/</w:t>
            </w:r>
            <w:proofErr w:type="spellStart"/>
            <w:r w:rsidRPr="00B1124C">
              <w:t>izvrš</w:t>
            </w:r>
            <w:proofErr w:type="spellEnd"/>
            <w:r w:rsidRPr="00B1124C">
              <w:t xml:space="preserve"> 25/plan</w:t>
            </w:r>
          </w:p>
        </w:tc>
      </w:tr>
      <w:tr w:rsidR="00B1124C" w:rsidRPr="00B1124C" w14:paraId="12C5DBB1" w14:textId="77777777" w:rsidTr="00B1124C">
        <w:trPr>
          <w:trHeight w:val="300"/>
        </w:trPr>
        <w:tc>
          <w:tcPr>
            <w:tcW w:w="3000" w:type="dxa"/>
            <w:hideMark/>
          </w:tcPr>
          <w:p w14:paraId="55BAF406" w14:textId="77777777" w:rsidR="00B1124C" w:rsidRPr="00B1124C" w:rsidRDefault="00B1124C" w:rsidP="00B1124C">
            <w:pPr>
              <w:rPr>
                <w:b/>
                <w:bCs/>
              </w:rPr>
            </w:pPr>
            <w:r w:rsidRPr="00B1124C">
              <w:rPr>
                <w:b/>
                <w:bCs/>
              </w:rPr>
              <w:t>6 Prihodi poslovanja</w:t>
            </w:r>
          </w:p>
        </w:tc>
        <w:tc>
          <w:tcPr>
            <w:tcW w:w="1620" w:type="dxa"/>
            <w:noWrap/>
            <w:hideMark/>
          </w:tcPr>
          <w:p w14:paraId="00306A64" w14:textId="77777777" w:rsidR="00B1124C" w:rsidRPr="00B1124C" w:rsidRDefault="00B1124C" w:rsidP="00B1124C">
            <w:pPr>
              <w:rPr>
                <w:b/>
                <w:bCs/>
              </w:rPr>
            </w:pPr>
            <w:r w:rsidRPr="00B1124C">
              <w:rPr>
                <w:b/>
                <w:bCs/>
              </w:rPr>
              <w:t>1.370.913,49</w:t>
            </w:r>
          </w:p>
        </w:tc>
        <w:tc>
          <w:tcPr>
            <w:tcW w:w="1580" w:type="dxa"/>
            <w:noWrap/>
            <w:hideMark/>
          </w:tcPr>
          <w:p w14:paraId="5C6E3A7E" w14:textId="77777777" w:rsidR="00B1124C" w:rsidRPr="00B1124C" w:rsidRDefault="00B1124C" w:rsidP="00B1124C">
            <w:pPr>
              <w:rPr>
                <w:b/>
                <w:bCs/>
              </w:rPr>
            </w:pPr>
            <w:r w:rsidRPr="00B1124C">
              <w:rPr>
                <w:b/>
                <w:bCs/>
              </w:rPr>
              <w:t>1.867.741,00</w:t>
            </w:r>
          </w:p>
        </w:tc>
        <w:tc>
          <w:tcPr>
            <w:tcW w:w="1394" w:type="dxa"/>
            <w:noWrap/>
            <w:hideMark/>
          </w:tcPr>
          <w:p w14:paraId="0BC6EE83" w14:textId="77777777" w:rsidR="00B1124C" w:rsidRPr="00B1124C" w:rsidRDefault="00B1124C" w:rsidP="00B1124C">
            <w:pPr>
              <w:rPr>
                <w:b/>
                <w:bCs/>
              </w:rPr>
            </w:pPr>
            <w:r w:rsidRPr="00B1124C">
              <w:rPr>
                <w:b/>
                <w:bCs/>
              </w:rPr>
              <w:t>1.714.077,74</w:t>
            </w:r>
          </w:p>
        </w:tc>
        <w:tc>
          <w:tcPr>
            <w:tcW w:w="2046" w:type="dxa"/>
            <w:noWrap/>
            <w:hideMark/>
          </w:tcPr>
          <w:p w14:paraId="69B8C751" w14:textId="77777777" w:rsidR="00B1124C" w:rsidRPr="00B1124C" w:rsidRDefault="00B1124C" w:rsidP="00B1124C">
            <w:pPr>
              <w:rPr>
                <w:b/>
                <w:bCs/>
              </w:rPr>
            </w:pPr>
            <w:r w:rsidRPr="00B1124C">
              <w:rPr>
                <w:b/>
                <w:bCs/>
              </w:rPr>
              <w:t>125%</w:t>
            </w:r>
          </w:p>
        </w:tc>
        <w:tc>
          <w:tcPr>
            <w:tcW w:w="1283" w:type="dxa"/>
            <w:noWrap/>
            <w:hideMark/>
          </w:tcPr>
          <w:p w14:paraId="70C36350" w14:textId="77777777" w:rsidR="00B1124C" w:rsidRPr="00B1124C" w:rsidRDefault="00B1124C" w:rsidP="00B1124C">
            <w:pPr>
              <w:rPr>
                <w:b/>
                <w:bCs/>
              </w:rPr>
            </w:pPr>
            <w:r w:rsidRPr="00B1124C">
              <w:rPr>
                <w:b/>
                <w:bCs/>
              </w:rPr>
              <w:t>92%</w:t>
            </w:r>
          </w:p>
        </w:tc>
      </w:tr>
      <w:tr w:rsidR="00B1124C" w:rsidRPr="00B1124C" w14:paraId="6EC5E293" w14:textId="77777777" w:rsidTr="00B1124C">
        <w:trPr>
          <w:trHeight w:val="1095"/>
        </w:trPr>
        <w:tc>
          <w:tcPr>
            <w:tcW w:w="3000" w:type="dxa"/>
            <w:hideMark/>
          </w:tcPr>
          <w:p w14:paraId="4B89D0DE" w14:textId="77777777" w:rsidR="00B1124C" w:rsidRPr="00B1124C" w:rsidRDefault="00B1124C" w:rsidP="00B1124C">
            <w:r w:rsidRPr="00B1124C">
              <w:t>63 Pomoći iz inozemstva i od subjekata unutar općeg proračuna</w:t>
            </w:r>
          </w:p>
        </w:tc>
        <w:tc>
          <w:tcPr>
            <w:tcW w:w="1620" w:type="dxa"/>
            <w:noWrap/>
            <w:hideMark/>
          </w:tcPr>
          <w:p w14:paraId="011EBE00" w14:textId="77777777" w:rsidR="00B1124C" w:rsidRPr="00B1124C" w:rsidRDefault="00B1124C" w:rsidP="00B1124C">
            <w:r w:rsidRPr="00B1124C">
              <w:t>208.588,76</w:t>
            </w:r>
          </w:p>
        </w:tc>
        <w:tc>
          <w:tcPr>
            <w:tcW w:w="1580" w:type="dxa"/>
            <w:noWrap/>
            <w:hideMark/>
          </w:tcPr>
          <w:p w14:paraId="136BC851" w14:textId="77777777" w:rsidR="00B1124C" w:rsidRPr="00B1124C" w:rsidRDefault="00B1124C" w:rsidP="00B1124C">
            <w:r w:rsidRPr="00B1124C">
              <w:t>237.200,00</w:t>
            </w:r>
          </w:p>
        </w:tc>
        <w:tc>
          <w:tcPr>
            <w:tcW w:w="1394" w:type="dxa"/>
            <w:noWrap/>
            <w:hideMark/>
          </w:tcPr>
          <w:p w14:paraId="28F07563" w14:textId="77777777" w:rsidR="00B1124C" w:rsidRPr="00B1124C" w:rsidRDefault="00B1124C" w:rsidP="00B1124C">
            <w:r w:rsidRPr="00B1124C">
              <w:t>261.686,64</w:t>
            </w:r>
          </w:p>
        </w:tc>
        <w:tc>
          <w:tcPr>
            <w:tcW w:w="2046" w:type="dxa"/>
            <w:noWrap/>
            <w:hideMark/>
          </w:tcPr>
          <w:p w14:paraId="2BD43184" w14:textId="77777777" w:rsidR="00B1124C" w:rsidRPr="00B1124C" w:rsidRDefault="00B1124C" w:rsidP="00B1124C">
            <w:r w:rsidRPr="00B1124C">
              <w:t>125%</w:t>
            </w:r>
          </w:p>
        </w:tc>
        <w:tc>
          <w:tcPr>
            <w:tcW w:w="1283" w:type="dxa"/>
            <w:noWrap/>
            <w:hideMark/>
          </w:tcPr>
          <w:p w14:paraId="067C6F48" w14:textId="77777777" w:rsidR="00B1124C" w:rsidRPr="00B1124C" w:rsidRDefault="00B1124C" w:rsidP="00B1124C">
            <w:r w:rsidRPr="00B1124C">
              <w:t>110%</w:t>
            </w:r>
          </w:p>
        </w:tc>
      </w:tr>
      <w:tr w:rsidR="00B1124C" w:rsidRPr="00B1124C" w14:paraId="4A301B1F" w14:textId="77777777" w:rsidTr="00B1124C">
        <w:trPr>
          <w:trHeight w:val="630"/>
        </w:trPr>
        <w:tc>
          <w:tcPr>
            <w:tcW w:w="3000" w:type="dxa"/>
            <w:hideMark/>
          </w:tcPr>
          <w:p w14:paraId="3892198D" w14:textId="72C4A804" w:rsidR="00B1124C" w:rsidRPr="00B1124C" w:rsidRDefault="00B1124C" w:rsidP="00B1124C">
            <w:r w:rsidRPr="00B1124C">
              <w:t>64</w:t>
            </w:r>
            <w:r w:rsidR="0009426F">
              <w:t xml:space="preserve"> </w:t>
            </w:r>
            <w:r w:rsidRPr="00B1124C">
              <w:t>Prihodi od financijske imovine</w:t>
            </w:r>
          </w:p>
        </w:tc>
        <w:tc>
          <w:tcPr>
            <w:tcW w:w="1620" w:type="dxa"/>
            <w:noWrap/>
            <w:hideMark/>
          </w:tcPr>
          <w:p w14:paraId="57EB06EB" w14:textId="77777777" w:rsidR="00B1124C" w:rsidRPr="00B1124C" w:rsidRDefault="00B1124C" w:rsidP="00B1124C">
            <w:r w:rsidRPr="00B1124C">
              <w:t>0,00</w:t>
            </w:r>
          </w:p>
        </w:tc>
        <w:tc>
          <w:tcPr>
            <w:tcW w:w="1580" w:type="dxa"/>
            <w:noWrap/>
            <w:hideMark/>
          </w:tcPr>
          <w:p w14:paraId="6E755742" w14:textId="77777777" w:rsidR="00B1124C" w:rsidRPr="00B1124C" w:rsidRDefault="00B1124C" w:rsidP="00B1124C">
            <w:r w:rsidRPr="00B1124C">
              <w:t>50,00</w:t>
            </w:r>
          </w:p>
        </w:tc>
        <w:tc>
          <w:tcPr>
            <w:tcW w:w="1394" w:type="dxa"/>
            <w:noWrap/>
            <w:hideMark/>
          </w:tcPr>
          <w:p w14:paraId="26A182C7" w14:textId="77777777" w:rsidR="00B1124C" w:rsidRPr="00B1124C" w:rsidRDefault="00B1124C" w:rsidP="00B1124C">
            <w:r w:rsidRPr="00B1124C">
              <w:t>0,00</w:t>
            </w:r>
          </w:p>
        </w:tc>
        <w:tc>
          <w:tcPr>
            <w:tcW w:w="2046" w:type="dxa"/>
            <w:noWrap/>
            <w:hideMark/>
          </w:tcPr>
          <w:p w14:paraId="1D22D341" w14:textId="77777777" w:rsidR="00B1124C" w:rsidRPr="00B1124C" w:rsidRDefault="00B1124C" w:rsidP="00B1124C">
            <w:r w:rsidRPr="00B1124C">
              <w:t>0%</w:t>
            </w:r>
          </w:p>
        </w:tc>
        <w:tc>
          <w:tcPr>
            <w:tcW w:w="1283" w:type="dxa"/>
            <w:noWrap/>
            <w:hideMark/>
          </w:tcPr>
          <w:p w14:paraId="5C0F189D" w14:textId="77777777" w:rsidR="00B1124C" w:rsidRPr="00B1124C" w:rsidRDefault="00B1124C" w:rsidP="00B1124C">
            <w:r w:rsidRPr="00B1124C">
              <w:t>0%</w:t>
            </w:r>
          </w:p>
        </w:tc>
      </w:tr>
      <w:tr w:rsidR="00B1124C" w:rsidRPr="00B1124C" w14:paraId="69FE3BE1" w14:textId="77777777" w:rsidTr="00B1124C">
        <w:trPr>
          <w:trHeight w:val="1680"/>
        </w:trPr>
        <w:tc>
          <w:tcPr>
            <w:tcW w:w="3000" w:type="dxa"/>
            <w:hideMark/>
          </w:tcPr>
          <w:p w14:paraId="328D572B" w14:textId="77777777" w:rsidR="00B1124C" w:rsidRPr="00B1124C" w:rsidRDefault="00B1124C" w:rsidP="00B1124C">
            <w:r w:rsidRPr="00B1124C">
              <w:t>66 Prihodi od prodaje proizvoda i robe, te pruženih usluga, prihodi od donacija te povrati po protestiranim jamstvima</w:t>
            </w:r>
          </w:p>
        </w:tc>
        <w:tc>
          <w:tcPr>
            <w:tcW w:w="1620" w:type="dxa"/>
            <w:noWrap/>
            <w:hideMark/>
          </w:tcPr>
          <w:p w14:paraId="7355DD77" w14:textId="77777777" w:rsidR="00B1124C" w:rsidRPr="00B1124C" w:rsidRDefault="00B1124C" w:rsidP="00B1124C">
            <w:r w:rsidRPr="00B1124C">
              <w:t>207.289,95</w:t>
            </w:r>
          </w:p>
        </w:tc>
        <w:tc>
          <w:tcPr>
            <w:tcW w:w="1580" w:type="dxa"/>
            <w:noWrap/>
            <w:hideMark/>
          </w:tcPr>
          <w:p w14:paraId="401E1E0F" w14:textId="77777777" w:rsidR="00B1124C" w:rsidRPr="00B1124C" w:rsidRDefault="00B1124C" w:rsidP="00B1124C">
            <w:r w:rsidRPr="00B1124C">
              <w:t>226.750,00</w:t>
            </w:r>
          </w:p>
        </w:tc>
        <w:tc>
          <w:tcPr>
            <w:tcW w:w="1394" w:type="dxa"/>
            <w:noWrap/>
            <w:hideMark/>
          </w:tcPr>
          <w:p w14:paraId="5E73FACA" w14:textId="77777777" w:rsidR="00B1124C" w:rsidRPr="00B1124C" w:rsidRDefault="00B1124C" w:rsidP="00B1124C">
            <w:r w:rsidRPr="00B1124C">
              <w:t>269.771,18</w:t>
            </w:r>
          </w:p>
        </w:tc>
        <w:tc>
          <w:tcPr>
            <w:tcW w:w="2046" w:type="dxa"/>
            <w:noWrap/>
            <w:hideMark/>
          </w:tcPr>
          <w:p w14:paraId="22691351" w14:textId="77777777" w:rsidR="00B1124C" w:rsidRPr="00B1124C" w:rsidRDefault="00B1124C" w:rsidP="00B1124C">
            <w:r w:rsidRPr="00B1124C">
              <w:t>130%</w:t>
            </w:r>
          </w:p>
        </w:tc>
        <w:tc>
          <w:tcPr>
            <w:tcW w:w="1283" w:type="dxa"/>
            <w:noWrap/>
            <w:hideMark/>
          </w:tcPr>
          <w:p w14:paraId="3416CE89" w14:textId="77777777" w:rsidR="00B1124C" w:rsidRPr="00B1124C" w:rsidRDefault="00B1124C" w:rsidP="00B1124C">
            <w:r w:rsidRPr="00B1124C">
              <w:t>119%</w:t>
            </w:r>
          </w:p>
        </w:tc>
      </w:tr>
      <w:tr w:rsidR="00B1124C" w:rsidRPr="00B1124C" w14:paraId="7F7161D1" w14:textId="77777777" w:rsidTr="00B1124C">
        <w:trPr>
          <w:trHeight w:val="1020"/>
        </w:trPr>
        <w:tc>
          <w:tcPr>
            <w:tcW w:w="3000" w:type="dxa"/>
            <w:hideMark/>
          </w:tcPr>
          <w:p w14:paraId="594C05F9" w14:textId="77777777" w:rsidR="00B1124C" w:rsidRPr="00B1124C" w:rsidRDefault="00B1124C" w:rsidP="00B1124C">
            <w:r w:rsidRPr="00B1124C">
              <w:t xml:space="preserve">67 Prihodi iz nadležnog proračuna </w:t>
            </w:r>
          </w:p>
        </w:tc>
        <w:tc>
          <w:tcPr>
            <w:tcW w:w="1620" w:type="dxa"/>
            <w:noWrap/>
            <w:hideMark/>
          </w:tcPr>
          <w:p w14:paraId="548DF620" w14:textId="77777777" w:rsidR="00B1124C" w:rsidRPr="00B1124C" w:rsidRDefault="00B1124C" w:rsidP="00B1124C">
            <w:r w:rsidRPr="00B1124C">
              <w:t>952.757,08</w:t>
            </w:r>
          </w:p>
        </w:tc>
        <w:tc>
          <w:tcPr>
            <w:tcW w:w="1580" w:type="dxa"/>
            <w:noWrap/>
            <w:hideMark/>
          </w:tcPr>
          <w:p w14:paraId="65280D34" w14:textId="77777777" w:rsidR="00B1124C" w:rsidRPr="00B1124C" w:rsidRDefault="00B1124C" w:rsidP="00B1124C">
            <w:r w:rsidRPr="00B1124C">
              <w:t>1.401.791,00</w:t>
            </w:r>
          </w:p>
        </w:tc>
        <w:tc>
          <w:tcPr>
            <w:tcW w:w="1394" w:type="dxa"/>
            <w:noWrap/>
            <w:hideMark/>
          </w:tcPr>
          <w:p w14:paraId="4C8F6D17" w14:textId="77777777" w:rsidR="00B1124C" w:rsidRPr="00B1124C" w:rsidRDefault="00B1124C" w:rsidP="00B1124C">
            <w:r w:rsidRPr="00B1124C">
              <w:t>1.182.619,92</w:t>
            </w:r>
          </w:p>
        </w:tc>
        <w:tc>
          <w:tcPr>
            <w:tcW w:w="2046" w:type="dxa"/>
            <w:noWrap/>
            <w:hideMark/>
          </w:tcPr>
          <w:p w14:paraId="3558E618" w14:textId="77777777" w:rsidR="00B1124C" w:rsidRPr="00B1124C" w:rsidRDefault="00B1124C" w:rsidP="00B1124C">
            <w:r w:rsidRPr="00B1124C">
              <w:t>124%</w:t>
            </w:r>
          </w:p>
        </w:tc>
        <w:tc>
          <w:tcPr>
            <w:tcW w:w="1283" w:type="dxa"/>
            <w:noWrap/>
            <w:hideMark/>
          </w:tcPr>
          <w:p w14:paraId="2E7FFF49" w14:textId="77777777" w:rsidR="00B1124C" w:rsidRPr="00B1124C" w:rsidRDefault="00B1124C" w:rsidP="00B1124C">
            <w:r w:rsidRPr="00B1124C">
              <w:t>84%</w:t>
            </w:r>
          </w:p>
        </w:tc>
      </w:tr>
      <w:tr w:rsidR="00B1124C" w:rsidRPr="00B1124C" w14:paraId="118F83CC" w14:textId="77777777" w:rsidTr="00B1124C">
        <w:trPr>
          <w:trHeight w:val="300"/>
        </w:trPr>
        <w:tc>
          <w:tcPr>
            <w:tcW w:w="3000" w:type="dxa"/>
            <w:hideMark/>
          </w:tcPr>
          <w:p w14:paraId="3BC28803" w14:textId="77777777" w:rsidR="00B1124C" w:rsidRPr="00B1124C" w:rsidRDefault="00B1124C" w:rsidP="00B1124C">
            <w:r w:rsidRPr="00B1124C">
              <w:t xml:space="preserve"> Ostali prihodi</w:t>
            </w:r>
          </w:p>
        </w:tc>
        <w:tc>
          <w:tcPr>
            <w:tcW w:w="1620" w:type="dxa"/>
            <w:noWrap/>
            <w:hideMark/>
          </w:tcPr>
          <w:p w14:paraId="30E8A2F3" w14:textId="77777777" w:rsidR="00B1124C" w:rsidRPr="00B1124C" w:rsidRDefault="00B1124C" w:rsidP="00B1124C">
            <w:r w:rsidRPr="00B1124C">
              <w:t>2.277,70</w:t>
            </w:r>
          </w:p>
        </w:tc>
        <w:tc>
          <w:tcPr>
            <w:tcW w:w="1580" w:type="dxa"/>
            <w:noWrap/>
            <w:hideMark/>
          </w:tcPr>
          <w:p w14:paraId="67BFFF2B" w14:textId="77777777" w:rsidR="00B1124C" w:rsidRPr="00B1124C" w:rsidRDefault="00B1124C" w:rsidP="00B1124C">
            <w:r w:rsidRPr="00B1124C">
              <w:t>1.950,00</w:t>
            </w:r>
          </w:p>
        </w:tc>
        <w:tc>
          <w:tcPr>
            <w:tcW w:w="1394" w:type="dxa"/>
            <w:noWrap/>
            <w:hideMark/>
          </w:tcPr>
          <w:p w14:paraId="4BAD0BFB" w14:textId="77777777" w:rsidR="00B1124C" w:rsidRPr="00B1124C" w:rsidRDefault="00B1124C" w:rsidP="00B1124C">
            <w:r w:rsidRPr="00B1124C">
              <w:t>0,00</w:t>
            </w:r>
          </w:p>
        </w:tc>
        <w:tc>
          <w:tcPr>
            <w:tcW w:w="2046" w:type="dxa"/>
            <w:noWrap/>
            <w:hideMark/>
          </w:tcPr>
          <w:p w14:paraId="48B18396" w14:textId="77777777" w:rsidR="00B1124C" w:rsidRPr="00B1124C" w:rsidRDefault="00B1124C" w:rsidP="00B1124C">
            <w:r w:rsidRPr="00B1124C">
              <w:t>0%</w:t>
            </w:r>
          </w:p>
        </w:tc>
        <w:tc>
          <w:tcPr>
            <w:tcW w:w="1283" w:type="dxa"/>
            <w:noWrap/>
            <w:hideMark/>
          </w:tcPr>
          <w:p w14:paraId="5D11DE71" w14:textId="77777777" w:rsidR="00B1124C" w:rsidRPr="00B1124C" w:rsidRDefault="00B1124C" w:rsidP="00B1124C">
            <w:r w:rsidRPr="00B1124C">
              <w:t>0%</w:t>
            </w:r>
          </w:p>
        </w:tc>
      </w:tr>
    </w:tbl>
    <w:p w14:paraId="70EBD7A1" w14:textId="35525369" w:rsidR="00B1124C" w:rsidRDefault="00B1124C" w:rsidP="00B1124C"/>
    <w:p w14:paraId="4F9EF345" w14:textId="6AB3EE9F" w:rsidR="00FE5BA3" w:rsidRDefault="00FE5BA3" w:rsidP="00D926F7">
      <w:r>
        <w:fldChar w:fldCharType="begin"/>
      </w:r>
      <w:r>
        <w:instrText xml:space="preserve"> LINK Excel.Sheet.12 "Knjiga1" "List1!R1C1:R7C8" \a \f 5 \h  \* MERGEFORMAT </w:instrText>
      </w:r>
      <w:r>
        <w:fldChar w:fldCharType="separate"/>
      </w:r>
    </w:p>
    <w:p w14:paraId="33637AED" w14:textId="38856EE1" w:rsidR="00FE5BA3" w:rsidRPr="006000EF" w:rsidRDefault="00FE5BA3" w:rsidP="00FE5BA3">
      <w:pPr>
        <w:autoSpaceDE w:val="0"/>
        <w:autoSpaceDN w:val="0"/>
        <w:adjustRightInd w:val="0"/>
        <w:ind w:firstLine="708"/>
        <w:jc w:val="both"/>
      </w:pPr>
      <w:r>
        <w:fldChar w:fldCharType="end"/>
      </w:r>
      <w:r w:rsidRPr="00FE5BA3">
        <w:t xml:space="preserve"> </w:t>
      </w:r>
      <w:r w:rsidRPr="006000EF">
        <w:t>Ukupni prihodi u 202</w:t>
      </w:r>
      <w:r w:rsidR="00F21E47">
        <w:t>5</w:t>
      </w:r>
      <w:r w:rsidRPr="006000EF">
        <w:t xml:space="preserve">. godine </w:t>
      </w:r>
      <w:r>
        <w:t xml:space="preserve">veći </w:t>
      </w:r>
      <w:r w:rsidRPr="006000EF">
        <w:t xml:space="preserve">su za </w:t>
      </w:r>
      <w:r w:rsidR="00D86B03">
        <w:t>25</w:t>
      </w:r>
      <w:r w:rsidRPr="006000EF">
        <w:t xml:space="preserve">% u odnosu na </w:t>
      </w:r>
      <w:r w:rsidR="006F71B9">
        <w:t xml:space="preserve">prethodnu </w:t>
      </w:r>
      <w:r w:rsidRPr="006000EF">
        <w:t xml:space="preserve"> 202</w:t>
      </w:r>
      <w:r w:rsidR="00D86B03">
        <w:t>4</w:t>
      </w:r>
      <w:r w:rsidRPr="006000EF">
        <w:t>. godin</w:t>
      </w:r>
      <w:r w:rsidR="006F71B9">
        <w:t>u</w:t>
      </w:r>
      <w:r w:rsidRPr="006000EF">
        <w:t xml:space="preserve">, odnosno ostvareni su sa </w:t>
      </w:r>
      <w:r w:rsidR="00BA0177">
        <w:t>92</w:t>
      </w:r>
      <w:r w:rsidRPr="006000EF">
        <w:t>% od planiranih proračunskih prihoda za 202</w:t>
      </w:r>
      <w:r w:rsidR="00BA0177">
        <w:t>5</w:t>
      </w:r>
      <w:r w:rsidRPr="006000EF">
        <w:t>. godinu.</w:t>
      </w:r>
    </w:p>
    <w:p w14:paraId="0A6FA6A6" w14:textId="1126C54B" w:rsidR="00FE5BA3" w:rsidRDefault="00FE5BA3" w:rsidP="00FE5BA3">
      <w:pPr>
        <w:autoSpaceDE w:val="0"/>
        <w:autoSpaceDN w:val="0"/>
        <w:adjustRightInd w:val="0"/>
        <w:ind w:firstLine="709"/>
        <w:jc w:val="both"/>
      </w:pPr>
      <w:r w:rsidRPr="00BA4163">
        <w:t xml:space="preserve">U strukturi ostvarenih ukupnih prihoda najveći udio imaju prihodi </w:t>
      </w:r>
      <w:r>
        <w:t>iz nadležnog proračuna sa</w:t>
      </w:r>
      <w:r w:rsidRPr="00BA4163">
        <w:t xml:space="preserve"> </w:t>
      </w:r>
      <w:r>
        <w:t>6</w:t>
      </w:r>
      <w:r w:rsidR="00796A7A">
        <w:t>9</w:t>
      </w:r>
      <w:r w:rsidRPr="00BA4163">
        <w:t xml:space="preserve">%, zatim prihodi od </w:t>
      </w:r>
      <w:r>
        <w:t xml:space="preserve">pomoći sa </w:t>
      </w:r>
      <w:r w:rsidR="00441613">
        <w:t>1</w:t>
      </w:r>
      <w:r w:rsidR="00E509CA">
        <w:t>5</w:t>
      </w:r>
      <w:r w:rsidRPr="00BA4163">
        <w:t xml:space="preserve">%, </w:t>
      </w:r>
      <w:r>
        <w:t xml:space="preserve">te vlastiti prihodi sa </w:t>
      </w:r>
      <w:r w:rsidR="00CA7C5C">
        <w:t>1</w:t>
      </w:r>
      <w:r w:rsidR="00A6053F">
        <w:t>5</w:t>
      </w:r>
      <w:r>
        <w:t>% udjela u ukupn</w:t>
      </w:r>
      <w:r w:rsidR="00245E3F">
        <w:t xml:space="preserve">o ostvarenim </w:t>
      </w:r>
      <w:r>
        <w:t xml:space="preserve"> prihodima</w:t>
      </w:r>
    </w:p>
    <w:p w14:paraId="34A5A1A0" w14:textId="77777777" w:rsidR="00A6053F" w:rsidRDefault="00A6053F" w:rsidP="00FE5BA3">
      <w:pPr>
        <w:autoSpaceDE w:val="0"/>
        <w:autoSpaceDN w:val="0"/>
        <w:adjustRightInd w:val="0"/>
        <w:ind w:firstLine="709"/>
        <w:jc w:val="both"/>
      </w:pPr>
    </w:p>
    <w:p w14:paraId="278B766B" w14:textId="77777777" w:rsidR="00A6053F" w:rsidRPr="00BA4163" w:rsidRDefault="00A6053F" w:rsidP="00FE5BA3">
      <w:pPr>
        <w:autoSpaceDE w:val="0"/>
        <w:autoSpaceDN w:val="0"/>
        <w:adjustRightInd w:val="0"/>
        <w:ind w:firstLine="709"/>
        <w:jc w:val="both"/>
      </w:pPr>
    </w:p>
    <w:p w14:paraId="50DED7F0" w14:textId="7858EBE5" w:rsidR="00D926F7" w:rsidRPr="00FE5BA3" w:rsidRDefault="00D926F7" w:rsidP="00D926F7"/>
    <w:p w14:paraId="348CF9C7" w14:textId="645D3519" w:rsidR="00FC21FD" w:rsidRPr="00764D18" w:rsidRDefault="00FC21FD" w:rsidP="00C91993">
      <w:pPr>
        <w:pStyle w:val="ListParagraph"/>
        <w:numPr>
          <w:ilvl w:val="1"/>
          <w:numId w:val="1"/>
        </w:numPr>
        <w:rPr>
          <w:b/>
          <w:bCs/>
        </w:rPr>
      </w:pPr>
      <w:r w:rsidRPr="00764D18">
        <w:rPr>
          <w:b/>
          <w:bCs/>
        </w:rPr>
        <w:lastRenderedPageBreak/>
        <w:t>Prihodi poslovanja</w:t>
      </w:r>
    </w:p>
    <w:p w14:paraId="3CBAC67B" w14:textId="20EEF87F" w:rsidR="00C91993" w:rsidRPr="00967F06" w:rsidRDefault="00C91993" w:rsidP="001464DD">
      <w:pPr>
        <w:jc w:val="both"/>
        <w:rPr>
          <w:b/>
          <w:bCs/>
        </w:rPr>
      </w:pPr>
      <w:r>
        <w:t xml:space="preserve">Prihodi poslovanja (razred 6 – prihodi iz nadležnog proračuna, prihodi od pružanja usluga i prodaje proizvoda, prihodi od pomoći iz proračuna koji </w:t>
      </w:r>
      <w:r w:rsidR="001464DD">
        <w:t xml:space="preserve">im </w:t>
      </w:r>
      <w:r>
        <w:t>nije nadležan, prihodi od prijenosa temeljem EU sredstava, t</w:t>
      </w:r>
      <w:r w:rsidR="00F67E26">
        <w:t>e donacije – tekuće i kapitalne</w:t>
      </w:r>
      <w:r>
        <w:t xml:space="preserve">) </w:t>
      </w:r>
      <w:r w:rsidR="00FE5BA3">
        <w:t xml:space="preserve">ostvareni su u iznosu od  </w:t>
      </w:r>
      <w:r w:rsidR="00CA7C5C">
        <w:t>1.</w:t>
      </w:r>
      <w:r w:rsidR="00006929">
        <w:t>714.077,74</w:t>
      </w:r>
      <w:r w:rsidR="00FE5BA3">
        <w:t xml:space="preserve"> EUR ili </w:t>
      </w:r>
      <w:r w:rsidR="00006929">
        <w:t>92</w:t>
      </w:r>
      <w:r w:rsidR="00FE5BA3">
        <w:t>% godišnjeg plana za 202</w:t>
      </w:r>
      <w:r w:rsidR="00006929">
        <w:t>5</w:t>
      </w:r>
      <w:r w:rsidR="00FE5BA3">
        <w:t>.,  a veći su u odnosu na prihode</w:t>
      </w:r>
      <w:r w:rsidR="002C36F3">
        <w:t xml:space="preserve"> ostvarene</w:t>
      </w:r>
      <w:r w:rsidR="00FE5BA3">
        <w:t xml:space="preserve"> u  istom razdoblju 202</w:t>
      </w:r>
      <w:r w:rsidR="00006929">
        <w:t>4</w:t>
      </w:r>
      <w:r w:rsidR="00FE5BA3">
        <w:t xml:space="preserve">., godine </w:t>
      </w:r>
      <w:r w:rsidR="002C36F3">
        <w:t xml:space="preserve">za </w:t>
      </w:r>
      <w:r w:rsidR="00006929">
        <w:t>25</w:t>
      </w:r>
      <w:r w:rsidR="002C36F3">
        <w:t>%, što se najvećim dijelom odnosi na povećanje</w:t>
      </w:r>
      <w:r w:rsidR="00CA7C5C">
        <w:t xml:space="preserve"> prihoda </w:t>
      </w:r>
      <w:r w:rsidR="00E31F6C">
        <w:t xml:space="preserve">iz proračuna, </w:t>
      </w:r>
      <w:r w:rsidR="002C36F3">
        <w:t xml:space="preserve"> vlastitih prihoda i prihoda od pomoći.</w:t>
      </w:r>
    </w:p>
    <w:p w14:paraId="1EC926DD" w14:textId="0B91DAE2" w:rsidR="000A0427" w:rsidRDefault="00324386" w:rsidP="00D52882">
      <w:pPr>
        <w:jc w:val="both"/>
      </w:pPr>
      <w:r>
        <w:tab/>
      </w:r>
    </w:p>
    <w:p w14:paraId="2DFEC64E" w14:textId="77D5F5D1" w:rsidR="001464DD" w:rsidRDefault="001464DD" w:rsidP="001464DD">
      <w:pPr>
        <w:jc w:val="both"/>
      </w:pPr>
      <w:r>
        <w:tab/>
      </w:r>
      <w:r w:rsidRPr="002917C7">
        <w:rPr>
          <w:b/>
          <w:bCs/>
        </w:rPr>
        <w:t xml:space="preserve">Prihodi od pomoći </w:t>
      </w:r>
      <w:r w:rsidR="00B83623" w:rsidRPr="002917C7">
        <w:rPr>
          <w:b/>
          <w:bCs/>
        </w:rPr>
        <w:t xml:space="preserve">63 </w:t>
      </w:r>
      <w:r w:rsidR="004D678E" w:rsidRPr="002917C7">
        <w:rPr>
          <w:b/>
          <w:bCs/>
        </w:rPr>
        <w:t xml:space="preserve"> </w:t>
      </w:r>
      <w:r w:rsidR="002C36F3">
        <w:rPr>
          <w:b/>
          <w:bCs/>
        </w:rPr>
        <w:t xml:space="preserve">ostvareni su u iznosu od </w:t>
      </w:r>
      <w:r w:rsidR="00006929">
        <w:rPr>
          <w:b/>
          <w:bCs/>
        </w:rPr>
        <w:t>261.686,64</w:t>
      </w:r>
      <w:r w:rsidR="002C36F3">
        <w:rPr>
          <w:b/>
          <w:bCs/>
        </w:rPr>
        <w:t xml:space="preserve"> EUR </w:t>
      </w:r>
      <w:r w:rsidR="002C36F3">
        <w:t xml:space="preserve">što čini indeks izvršenja od </w:t>
      </w:r>
      <w:r w:rsidR="00006929">
        <w:t>110</w:t>
      </w:r>
      <w:r w:rsidR="002C36F3">
        <w:t xml:space="preserve">% u odnosu na plan, a veći su za </w:t>
      </w:r>
      <w:r w:rsidR="00006929">
        <w:t>25</w:t>
      </w:r>
      <w:r w:rsidR="002C36F3">
        <w:t>% u donosu na ostvarene istovrsne prihode u istom razdoblju 202</w:t>
      </w:r>
      <w:r w:rsidR="00006929">
        <w:t>4</w:t>
      </w:r>
      <w:r w:rsidR="002C36F3">
        <w:t>. godine</w:t>
      </w:r>
      <w:r w:rsidR="002C36F3">
        <w:rPr>
          <w:b/>
          <w:bCs/>
        </w:rPr>
        <w:t xml:space="preserve">, </w:t>
      </w:r>
      <w:r w:rsidR="002C36F3">
        <w:t xml:space="preserve">a odnose se na </w:t>
      </w:r>
    </w:p>
    <w:p w14:paraId="16AF4672" w14:textId="0DB5441A" w:rsidR="006D4A1D" w:rsidRPr="002C36F3" w:rsidRDefault="006D4A1D" w:rsidP="001464DD">
      <w:pPr>
        <w:jc w:val="both"/>
      </w:pPr>
      <w:r>
        <w:tab/>
      </w:r>
      <w:r w:rsidRPr="006D4A1D">
        <w:rPr>
          <w:b/>
          <w:bCs/>
        </w:rPr>
        <w:t>6341</w:t>
      </w:r>
      <w:r>
        <w:t xml:space="preserve"> -  Tekuće pomoći od HZZO-a za vaučere za obrazovanje i izvršeni su u iznosu od </w:t>
      </w:r>
      <w:r w:rsidR="009500DD">
        <w:t>10.284,64</w:t>
      </w:r>
      <w:r>
        <w:t xml:space="preserve"> </w:t>
      </w:r>
      <w:r w:rsidR="009500DD">
        <w:t>EUR</w:t>
      </w:r>
      <w:r>
        <w:t xml:space="preserve">, što predstavlja izvršenje od </w:t>
      </w:r>
      <w:r w:rsidR="000C7F75">
        <w:t>109</w:t>
      </w:r>
      <w:r>
        <w:t>% u odnosu na plan</w:t>
      </w:r>
    </w:p>
    <w:p w14:paraId="332C58BB" w14:textId="54319E54" w:rsidR="00B83623" w:rsidRPr="00F67E26" w:rsidRDefault="00B83623" w:rsidP="00D52882">
      <w:pPr>
        <w:ind w:firstLine="708"/>
        <w:jc w:val="both"/>
        <w:rPr>
          <w:color w:val="000000" w:themeColor="text1"/>
        </w:rPr>
      </w:pPr>
      <w:r w:rsidRPr="00EE743B">
        <w:rPr>
          <w:b/>
          <w:bCs/>
        </w:rPr>
        <w:t>6361</w:t>
      </w:r>
      <w:r>
        <w:t xml:space="preserve"> –</w:t>
      </w:r>
      <w:r w:rsidR="00F67E26">
        <w:t xml:space="preserve"> </w:t>
      </w:r>
      <w:r>
        <w:t xml:space="preserve">prihodi od Ministarstva kulture, Zagrebačke županije, HZZO-a, HAV-ca kojima se financiraju projekti </w:t>
      </w:r>
      <w:r w:rsidR="00F67E26">
        <w:rPr>
          <w:color w:val="000000" w:themeColor="text1"/>
        </w:rPr>
        <w:t>Samob</w:t>
      </w:r>
      <w:r w:rsidRPr="00F67E26">
        <w:rPr>
          <w:color w:val="000000" w:themeColor="text1"/>
        </w:rPr>
        <w:t>o</w:t>
      </w:r>
      <w:r w:rsidR="00F67E26">
        <w:rPr>
          <w:color w:val="000000" w:themeColor="text1"/>
        </w:rPr>
        <w:t>rska glazbena jesen, programi u Galeriji Prica, programi Centra za mlade Bunker, Posebni programi (Vrazova Ljubica, Dječji svijet nedjeljom u 5, Amatersko kazalište PAX), Kino programi te program Vaučera u cjeloživotnom obrazovanju</w:t>
      </w:r>
      <w:r w:rsidR="002C36F3">
        <w:rPr>
          <w:color w:val="000000" w:themeColor="text1"/>
        </w:rPr>
        <w:t xml:space="preserve">, koji su izvršeni u iznosu od </w:t>
      </w:r>
      <w:r w:rsidR="000C7F75">
        <w:rPr>
          <w:color w:val="000000" w:themeColor="text1"/>
        </w:rPr>
        <w:t>109.414,00 EUR</w:t>
      </w:r>
    </w:p>
    <w:p w14:paraId="5C1D3220" w14:textId="4EC6AB58" w:rsidR="006D4A1D" w:rsidRPr="00522E5A" w:rsidRDefault="00B83623" w:rsidP="00522E5A">
      <w:pPr>
        <w:ind w:firstLine="705"/>
        <w:jc w:val="both"/>
        <w:rPr>
          <w:rFonts w:ascii="Calibri" w:eastAsia="Times New Roman" w:hAnsi="Calibri" w:cs="Calibri"/>
          <w:lang w:eastAsia="hr-HR"/>
        </w:rPr>
      </w:pPr>
      <w:r w:rsidRPr="00EE743B">
        <w:rPr>
          <w:b/>
          <w:bCs/>
        </w:rPr>
        <w:t>6381</w:t>
      </w:r>
      <w:r>
        <w:t xml:space="preserve"> </w:t>
      </w:r>
      <w:r w:rsidR="004D678E">
        <w:t>–</w:t>
      </w:r>
      <w:r>
        <w:t xml:space="preserve"> </w:t>
      </w:r>
      <w:r w:rsidR="004D678E">
        <w:t xml:space="preserve">prihodi od pomoći temeljem prijenosa EU sredstva odnose se na prihode </w:t>
      </w:r>
      <w:r w:rsidR="009A3F7A">
        <w:t>od Agencije za mobil</w:t>
      </w:r>
      <w:r w:rsidR="002917C7">
        <w:t>no</w:t>
      </w:r>
      <w:r w:rsidR="009A3F7A">
        <w:t>s</w:t>
      </w:r>
      <w:r w:rsidR="002917C7">
        <w:t xml:space="preserve">t </w:t>
      </w:r>
      <w:r w:rsidR="004D678E">
        <w:t>za provedbu projekata Erasmus</w:t>
      </w:r>
      <w:r w:rsidR="009A3F7A">
        <w:t>+ za</w:t>
      </w:r>
      <w:r w:rsidR="004D678E">
        <w:t xml:space="preserve"> obrazovanje</w:t>
      </w:r>
      <w:r w:rsidR="009A3F7A">
        <w:t xml:space="preserve"> odraslih</w:t>
      </w:r>
      <w:r w:rsidR="004D678E">
        <w:t xml:space="preserve"> te na pr</w:t>
      </w:r>
      <w:r w:rsidR="009A3F7A">
        <w:t xml:space="preserve">ojekt </w:t>
      </w:r>
      <w:proofErr w:type="spellStart"/>
      <w:r w:rsidR="009A3F7A">
        <w:t>Back</w:t>
      </w:r>
      <w:proofErr w:type="spellEnd"/>
      <w:r w:rsidR="009A3F7A">
        <w:t xml:space="preserve"> to </w:t>
      </w:r>
      <w:proofErr w:type="spellStart"/>
      <w:r w:rsidR="009A3F7A">
        <w:t>the</w:t>
      </w:r>
      <w:proofErr w:type="spellEnd"/>
      <w:r w:rsidR="009A3F7A">
        <w:t xml:space="preserve"> </w:t>
      </w:r>
      <w:proofErr w:type="spellStart"/>
      <w:r w:rsidR="009A3F7A">
        <w:t>local</w:t>
      </w:r>
      <w:proofErr w:type="spellEnd"/>
      <w:r w:rsidR="009A3F7A">
        <w:t xml:space="preserve"> </w:t>
      </w:r>
      <w:proofErr w:type="spellStart"/>
      <w:r w:rsidR="009A3F7A">
        <w:t>cinema</w:t>
      </w:r>
      <w:proofErr w:type="spellEnd"/>
      <w:r w:rsidR="009A3F7A">
        <w:t xml:space="preserve"> </w:t>
      </w:r>
      <w:r w:rsidR="002917C7">
        <w:t xml:space="preserve">koje se </w:t>
      </w:r>
      <w:r w:rsidR="009A3F7A">
        <w:t xml:space="preserve">financira iz Europa Cinemas poziva, a </w:t>
      </w:r>
      <w:r w:rsidR="002917C7">
        <w:t>pro</w:t>
      </w:r>
      <w:r w:rsidR="009A3F7A">
        <w:t>vodi u suradnji sa Centrom za k</w:t>
      </w:r>
      <w:r w:rsidR="002917C7">
        <w:t>ul</w:t>
      </w:r>
      <w:r w:rsidR="009A3F7A">
        <w:t>t</w:t>
      </w:r>
      <w:r w:rsidR="002917C7">
        <w:t xml:space="preserve">uru Čakovec. </w:t>
      </w:r>
      <w:r w:rsidR="006D4A1D">
        <w:t xml:space="preserve">Ovi prihodi izvršeni su u iznosu od </w:t>
      </w:r>
      <w:r w:rsidR="00C80E83">
        <w:rPr>
          <w:rFonts w:ascii="Calibri" w:eastAsia="Times New Roman" w:hAnsi="Calibri" w:cs="Calibri"/>
          <w:lang w:eastAsia="hr-HR"/>
        </w:rPr>
        <w:t>45.</w:t>
      </w:r>
      <w:r w:rsidR="0009426F">
        <w:rPr>
          <w:rFonts w:ascii="Calibri" w:eastAsia="Times New Roman" w:hAnsi="Calibri" w:cs="Calibri"/>
          <w:lang w:eastAsia="hr-HR"/>
        </w:rPr>
        <w:t>988,00 EUR</w:t>
      </w:r>
      <w:r w:rsidR="006D4A1D">
        <w:rPr>
          <w:rFonts w:ascii="Calibri" w:eastAsia="Times New Roman" w:hAnsi="Calibri" w:cs="Calibri"/>
          <w:lang w:eastAsia="hr-HR"/>
        </w:rPr>
        <w:t>.</w:t>
      </w:r>
    </w:p>
    <w:p w14:paraId="1EB575D4" w14:textId="6EB36207" w:rsidR="00D52882" w:rsidRDefault="00D52882" w:rsidP="00D52882">
      <w:pPr>
        <w:ind w:firstLine="705"/>
        <w:jc w:val="both"/>
      </w:pPr>
      <w:r w:rsidRPr="00764D18">
        <w:rPr>
          <w:b/>
          <w:bCs/>
        </w:rPr>
        <w:t>Prihod od financijske imovine 64</w:t>
      </w:r>
      <w:r>
        <w:t>– odnosi se na prihode od kamata na sredstva na žiro-računu</w:t>
      </w:r>
      <w:r w:rsidR="006D4A1D">
        <w:t xml:space="preserve"> a do 3</w:t>
      </w:r>
      <w:r w:rsidR="00C80E83">
        <w:t>1.12.202</w:t>
      </w:r>
      <w:r w:rsidR="0009426F">
        <w:t>5</w:t>
      </w:r>
      <w:r w:rsidR="00C80E83">
        <w:t>.</w:t>
      </w:r>
      <w:r w:rsidR="006D4A1D">
        <w:t xml:space="preserve"> nisu realizirani prihodi po ovoj osnovi</w:t>
      </w:r>
    </w:p>
    <w:p w14:paraId="6BB96692" w14:textId="2CF656BB" w:rsidR="006D4A1D" w:rsidRPr="006D4A1D" w:rsidRDefault="004D678E" w:rsidP="006D4A1D">
      <w:pPr>
        <w:jc w:val="both"/>
        <w:rPr>
          <w:rFonts w:ascii="Calibri" w:eastAsia="Times New Roman" w:hAnsi="Calibri" w:cs="Calibri"/>
          <w:lang w:eastAsia="hr-HR"/>
        </w:rPr>
      </w:pPr>
      <w:r w:rsidRPr="002917C7">
        <w:rPr>
          <w:b/>
          <w:bCs/>
        </w:rPr>
        <w:t>Prihodi od pružan</w:t>
      </w:r>
      <w:r w:rsidR="00FF2CA2">
        <w:rPr>
          <w:b/>
          <w:bCs/>
        </w:rPr>
        <w:t xml:space="preserve">ja usluga i prodaje proizvoda </w:t>
      </w:r>
      <w:r w:rsidRPr="002917C7">
        <w:rPr>
          <w:b/>
          <w:bCs/>
        </w:rPr>
        <w:t>66</w:t>
      </w:r>
      <w:r w:rsidR="00FF2CA2">
        <w:t xml:space="preserve"> – </w:t>
      </w:r>
      <w:r w:rsidR="006D4A1D" w:rsidRPr="006D4A1D">
        <w:rPr>
          <w:b/>
          <w:bCs/>
        </w:rPr>
        <w:t>ostvareni su u iznosu od</w:t>
      </w:r>
      <w:r w:rsidR="006D4A1D">
        <w:t xml:space="preserve"> </w:t>
      </w:r>
      <w:r w:rsidR="00AA2C26">
        <w:rPr>
          <w:rFonts w:ascii="Calibri" w:eastAsia="Times New Roman" w:hAnsi="Calibri" w:cs="Calibri"/>
          <w:b/>
          <w:bCs/>
          <w:lang w:eastAsia="hr-HR"/>
        </w:rPr>
        <w:t xml:space="preserve">269.771,18 EUR </w:t>
      </w:r>
      <w:r w:rsidR="006D4A1D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6D4A1D">
        <w:rPr>
          <w:rFonts w:ascii="Calibri" w:eastAsia="Times New Roman" w:hAnsi="Calibri" w:cs="Calibri"/>
          <w:lang w:eastAsia="hr-HR"/>
        </w:rPr>
        <w:t xml:space="preserve">što predstavlja izvršenje od </w:t>
      </w:r>
      <w:r w:rsidR="00C80E83">
        <w:rPr>
          <w:rFonts w:ascii="Calibri" w:eastAsia="Times New Roman" w:hAnsi="Calibri" w:cs="Calibri"/>
          <w:lang w:eastAsia="hr-HR"/>
        </w:rPr>
        <w:t xml:space="preserve"> 1</w:t>
      </w:r>
      <w:r w:rsidR="00AA2C26">
        <w:rPr>
          <w:rFonts w:ascii="Calibri" w:eastAsia="Times New Roman" w:hAnsi="Calibri" w:cs="Calibri"/>
          <w:lang w:eastAsia="hr-HR"/>
        </w:rPr>
        <w:t>19</w:t>
      </w:r>
      <w:r w:rsidR="006D4A1D">
        <w:rPr>
          <w:rFonts w:ascii="Calibri" w:eastAsia="Times New Roman" w:hAnsi="Calibri" w:cs="Calibri"/>
          <w:lang w:eastAsia="hr-HR"/>
        </w:rPr>
        <w:t xml:space="preserve">% u odnosu na plan, te predstavlja povećanje u odnosu na isto razdoblje prošle godine od </w:t>
      </w:r>
      <w:r w:rsidR="00C80E83">
        <w:rPr>
          <w:rFonts w:ascii="Calibri" w:eastAsia="Times New Roman" w:hAnsi="Calibri" w:cs="Calibri"/>
          <w:lang w:eastAsia="hr-HR"/>
        </w:rPr>
        <w:t>3</w:t>
      </w:r>
      <w:r w:rsidR="00AA2C26">
        <w:rPr>
          <w:rFonts w:ascii="Calibri" w:eastAsia="Times New Roman" w:hAnsi="Calibri" w:cs="Calibri"/>
          <w:lang w:eastAsia="hr-HR"/>
        </w:rPr>
        <w:t>0</w:t>
      </w:r>
      <w:r w:rsidR="006D4A1D">
        <w:rPr>
          <w:rFonts w:ascii="Calibri" w:eastAsia="Times New Roman" w:hAnsi="Calibri" w:cs="Calibri"/>
          <w:lang w:eastAsia="hr-HR"/>
        </w:rPr>
        <w:t xml:space="preserve">%, a udio u ukupnim prihodima je </w:t>
      </w:r>
      <w:r w:rsidR="00AA2C26">
        <w:rPr>
          <w:rFonts w:ascii="Calibri" w:eastAsia="Times New Roman" w:hAnsi="Calibri" w:cs="Calibri"/>
          <w:lang w:eastAsia="hr-HR"/>
        </w:rPr>
        <w:t>15</w:t>
      </w:r>
      <w:r w:rsidR="006D4A1D">
        <w:rPr>
          <w:rFonts w:ascii="Calibri" w:eastAsia="Times New Roman" w:hAnsi="Calibri" w:cs="Calibri"/>
          <w:lang w:eastAsia="hr-HR"/>
        </w:rPr>
        <w:t>%</w:t>
      </w:r>
    </w:p>
    <w:p w14:paraId="6810674A" w14:textId="7BF12B9A" w:rsidR="00841F7C" w:rsidRPr="00522E5A" w:rsidRDefault="006D4A1D" w:rsidP="00841F7C">
      <w:pPr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6D4A1D">
        <w:rPr>
          <w:b/>
          <w:bCs/>
        </w:rPr>
        <w:t xml:space="preserve"> </w:t>
      </w:r>
      <w:r>
        <w:rPr>
          <w:b/>
          <w:bCs/>
        </w:rPr>
        <w:tab/>
      </w:r>
      <w:r w:rsidRPr="006D4A1D">
        <w:rPr>
          <w:b/>
          <w:bCs/>
        </w:rPr>
        <w:t>6615</w:t>
      </w:r>
      <w:r>
        <w:t xml:space="preserve"> - </w:t>
      </w:r>
      <w:r w:rsidR="009A3F7A">
        <w:t>odnose s</w:t>
      </w:r>
      <w:r w:rsidR="004D678E">
        <w:t xml:space="preserve">e na prihode koje Pučko otvoreno učilište ostvaruje pružanjem različitih </w:t>
      </w:r>
      <w:r w:rsidR="009A3F7A">
        <w:t>obrazovnih programa (</w:t>
      </w:r>
      <w:r w:rsidR="004D678E">
        <w:t>tečajeva, edukacija, plesne i dramske radio</w:t>
      </w:r>
      <w:r w:rsidR="009A3F7A">
        <w:t>nice), iznajmljivanjem prostora, prodanim ulaznicama od kazališnih predstava i koncerata, a</w:t>
      </w:r>
      <w:r w:rsidR="004D678E">
        <w:t xml:space="preserve"> najvećim dijelom vlastiti prihod se ostvaruje od </w:t>
      </w:r>
      <w:r w:rsidR="007200E4">
        <w:t>kino prikazivačke</w:t>
      </w:r>
      <w:r w:rsidR="004D678E">
        <w:t xml:space="preserve"> djelatnosti</w:t>
      </w:r>
      <w:r w:rsidR="002917C7">
        <w:t xml:space="preserve">. Vlastiti prihod se koristi za financiranje </w:t>
      </w:r>
      <w:r w:rsidR="009A3F7A">
        <w:t>svih programa</w:t>
      </w:r>
      <w:r w:rsidR="002917C7">
        <w:t xml:space="preserve"> POU Samobor</w:t>
      </w:r>
      <w:r w:rsidR="009A3F7A">
        <w:t xml:space="preserve"> (Samoborska glazbena jesen, Galerija Prica, Centar za mlade Bunker, Posebni programi, Kinoprikazivaštvo, obrazovanje), kao i za redovnu djelatnost (energija, tekuće i investicijsko održavanja, komunalne usl</w:t>
      </w:r>
      <w:r w:rsidR="00FF2CA2">
        <w:t>uge, zdravstvene usluge, premije</w:t>
      </w:r>
      <w:r w:rsidR="009A3F7A">
        <w:t xml:space="preserve"> osiguranja i sl.) i nabavu opreme</w:t>
      </w:r>
      <w:r>
        <w:t xml:space="preserve"> koji su izvršeni u iznosu od </w:t>
      </w:r>
      <w:r w:rsidR="003E7CC8">
        <w:rPr>
          <w:rFonts w:ascii="Calibri" w:eastAsia="Times New Roman" w:hAnsi="Calibri" w:cs="Calibri"/>
          <w:b/>
          <w:bCs/>
          <w:lang w:eastAsia="hr-HR"/>
        </w:rPr>
        <w:t>246.696,51 EUR</w:t>
      </w:r>
    </w:p>
    <w:p w14:paraId="30CD33AD" w14:textId="06722BAF" w:rsidR="002917C7" w:rsidRDefault="002917C7" w:rsidP="002917C7">
      <w:pPr>
        <w:ind w:firstLine="705"/>
        <w:jc w:val="both"/>
      </w:pPr>
      <w:r w:rsidRPr="002917C7">
        <w:rPr>
          <w:b/>
          <w:bCs/>
        </w:rPr>
        <w:t>663</w:t>
      </w:r>
      <w:r w:rsidR="00522E5A">
        <w:rPr>
          <w:b/>
          <w:bCs/>
        </w:rPr>
        <w:t>1</w:t>
      </w:r>
      <w:r>
        <w:t xml:space="preserve"> – </w:t>
      </w:r>
      <w:r w:rsidR="00522E5A">
        <w:t xml:space="preserve"> </w:t>
      </w:r>
      <w:r w:rsidR="00C32D0F">
        <w:t xml:space="preserve">tekuće </w:t>
      </w:r>
      <w:r w:rsidR="00522E5A">
        <w:t xml:space="preserve">donacija  izvršeni su u iznosu od </w:t>
      </w:r>
      <w:r w:rsidR="00C4504E">
        <w:t>19.574,67</w:t>
      </w:r>
      <w:r w:rsidR="003E7CC8">
        <w:t xml:space="preserve"> EUR</w:t>
      </w:r>
    </w:p>
    <w:p w14:paraId="2CFA6973" w14:textId="1F9EEDEF" w:rsidR="00C4504E" w:rsidRDefault="00C4504E" w:rsidP="002917C7">
      <w:pPr>
        <w:ind w:firstLine="705"/>
        <w:jc w:val="both"/>
      </w:pPr>
      <w:r w:rsidRPr="00C4504E">
        <w:rPr>
          <w:b/>
          <w:bCs/>
        </w:rPr>
        <w:t>6632</w:t>
      </w:r>
      <w:r>
        <w:t xml:space="preserve"> – kapitalne donacije izvršene su u iznosu od 3.500,00 EUR </w:t>
      </w:r>
    </w:p>
    <w:p w14:paraId="4403721E" w14:textId="3B632306" w:rsidR="00522E5A" w:rsidRDefault="00D52882" w:rsidP="00D52882">
      <w:pPr>
        <w:ind w:firstLine="705"/>
        <w:jc w:val="both"/>
      </w:pPr>
      <w:r w:rsidRPr="002917C7">
        <w:rPr>
          <w:b/>
          <w:bCs/>
        </w:rPr>
        <w:t>Prihodi iz nadležnog proračuna – opći prihodi i primici  67</w:t>
      </w:r>
      <w:r>
        <w:t xml:space="preserve"> </w:t>
      </w:r>
      <w:r w:rsidR="00522E5A" w:rsidRPr="00522E5A">
        <w:rPr>
          <w:b/>
          <w:bCs/>
        </w:rPr>
        <w:t xml:space="preserve">izvršeni su u iznosu od </w:t>
      </w:r>
      <w:r w:rsidR="00C4504E">
        <w:rPr>
          <w:b/>
          <w:bCs/>
        </w:rPr>
        <w:t>1.186.6</w:t>
      </w:r>
      <w:r w:rsidR="00A1635B">
        <w:rPr>
          <w:b/>
          <w:bCs/>
        </w:rPr>
        <w:t>19,92 EUR</w:t>
      </w:r>
      <w:r>
        <w:t>,</w:t>
      </w:r>
      <w:r w:rsidR="00522E5A">
        <w:t xml:space="preserve">  što predstavlja izvršenje od </w:t>
      </w:r>
      <w:r w:rsidR="00AB3E46">
        <w:t>8</w:t>
      </w:r>
      <w:r w:rsidR="00A1635B">
        <w:t>4</w:t>
      </w:r>
      <w:r w:rsidR="00522E5A">
        <w:t xml:space="preserve">% u odnosu na plan, te povećanje za </w:t>
      </w:r>
      <w:r w:rsidR="00AB3E46">
        <w:t>2</w:t>
      </w:r>
      <w:r w:rsidR="00A1635B">
        <w:t>4</w:t>
      </w:r>
      <w:r w:rsidR="00522E5A">
        <w:t>% u odnosu na isto razdoblje prošle godine, dok u ukupnim prihodima sudjeluje sa 6</w:t>
      </w:r>
      <w:r w:rsidR="00A1635B">
        <w:t>9</w:t>
      </w:r>
      <w:r w:rsidR="00522E5A">
        <w:t xml:space="preserve">% </w:t>
      </w:r>
    </w:p>
    <w:p w14:paraId="0D876F68" w14:textId="1D9921E0" w:rsidR="00522E5A" w:rsidRDefault="00522E5A" w:rsidP="00522E5A">
      <w:pPr>
        <w:ind w:firstLine="705"/>
        <w:jc w:val="both"/>
      </w:pPr>
      <w:r w:rsidRPr="00522E5A">
        <w:rPr>
          <w:b/>
          <w:bCs/>
        </w:rPr>
        <w:t xml:space="preserve"> 6711</w:t>
      </w:r>
      <w:r>
        <w:t xml:space="preserve"> - </w:t>
      </w:r>
      <w:r w:rsidR="00D52882">
        <w:t xml:space="preserve">a odnose se na prihode za financiranje rashoda poslovanja 6711 u iznosu od </w:t>
      </w:r>
      <w:r w:rsidR="00EC65A1">
        <w:rPr>
          <w:rFonts w:ascii="Calibri" w:eastAsia="Times New Roman" w:hAnsi="Calibri" w:cs="Calibri"/>
          <w:lang w:eastAsia="hr-HR"/>
        </w:rPr>
        <w:t>1.137.301,21EUR,</w:t>
      </w:r>
      <w:r>
        <w:rPr>
          <w:rFonts w:ascii="Calibri" w:eastAsia="Times New Roman" w:hAnsi="Calibri" w:cs="Calibri"/>
          <w:lang w:eastAsia="hr-HR"/>
        </w:rPr>
        <w:t xml:space="preserve"> a kojima se  financiraju </w:t>
      </w:r>
      <w:r w:rsidR="00D52882">
        <w:t xml:space="preserve">rashodi za zaposlene, rashodi za energiju, intelektualne </w:t>
      </w:r>
      <w:r w:rsidR="00D52882">
        <w:lastRenderedPageBreak/>
        <w:t>usluge, komunalne usluge, uredski materijal, troškove prava za prikazivanje filmova i sl.,</w:t>
      </w:r>
      <w:r w:rsidR="00EA3613">
        <w:t xml:space="preserve"> te koji služe za pokriće metodološkog manjka prihoda iz 202</w:t>
      </w:r>
      <w:r w:rsidR="00EC65A1">
        <w:t>4</w:t>
      </w:r>
      <w:r w:rsidR="00EA3613">
        <w:t xml:space="preserve"> </w:t>
      </w:r>
      <w:r w:rsidR="007200E4">
        <w:t>godine, te</w:t>
      </w:r>
      <w:r w:rsidR="00D52882">
        <w:t xml:space="preserve"> na </w:t>
      </w:r>
    </w:p>
    <w:p w14:paraId="4DCD7927" w14:textId="01563F57" w:rsidR="00D52882" w:rsidRDefault="00D52882" w:rsidP="00522E5A">
      <w:pPr>
        <w:ind w:firstLine="705"/>
        <w:jc w:val="both"/>
      </w:pPr>
      <w:r>
        <w:t xml:space="preserve"> -</w:t>
      </w:r>
      <w:r w:rsidR="00C3310B">
        <w:t xml:space="preserve">6712 </w:t>
      </w:r>
      <w:r>
        <w:t xml:space="preserve"> prihode za financiranje nabave dugotrajne imovine u iznosu od</w:t>
      </w:r>
      <w:r w:rsidR="00522E5A">
        <w:t xml:space="preserve"> </w:t>
      </w:r>
      <w:r w:rsidR="009E7C2D">
        <w:t>45.318,71 EUR</w:t>
      </w:r>
      <w:r>
        <w:t xml:space="preserve"> </w:t>
      </w:r>
    </w:p>
    <w:p w14:paraId="72792C4F" w14:textId="42497584" w:rsidR="00522E5A" w:rsidRDefault="00764D18" w:rsidP="000F2B95">
      <w:pPr>
        <w:ind w:firstLine="708"/>
        <w:jc w:val="both"/>
      </w:pPr>
      <w:r w:rsidRPr="00764D18">
        <w:rPr>
          <w:b/>
          <w:bCs/>
        </w:rPr>
        <w:t>Ostali prihodi 68</w:t>
      </w:r>
      <w:r>
        <w:t xml:space="preserve"> – odnose se na prihod od usklađenja priznatog pretporeza pri godišnjem obračunu PDV-a</w:t>
      </w:r>
      <w:r w:rsidR="00522E5A">
        <w:t xml:space="preserve">, te se do </w:t>
      </w:r>
      <w:r w:rsidR="000F2B95">
        <w:t>31.12.202</w:t>
      </w:r>
      <w:r w:rsidR="009E7C2D">
        <w:t>5</w:t>
      </w:r>
      <w:r w:rsidR="00522E5A">
        <w:t>. nije realizira</w:t>
      </w:r>
      <w:r w:rsidR="000F2B95">
        <w:t>o</w:t>
      </w:r>
    </w:p>
    <w:p w14:paraId="2E631514" w14:textId="6E6C79A9" w:rsidR="00764D18" w:rsidRDefault="00E339F4" w:rsidP="00522E5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522E5A">
        <w:rPr>
          <w:b/>
          <w:bCs/>
        </w:rPr>
        <w:t>RASHODI</w:t>
      </w:r>
    </w:p>
    <w:p w14:paraId="6A3009EC" w14:textId="5AC19D4A" w:rsidR="00FF4809" w:rsidRDefault="00522E5A" w:rsidP="00E339F4">
      <w:pPr>
        <w:jc w:val="both"/>
      </w:pPr>
      <w:r w:rsidRPr="001817B8">
        <w:t xml:space="preserve">Izvršenje rashoda i izdataka Proračuna </w:t>
      </w:r>
      <w:r>
        <w:t xml:space="preserve">POU </w:t>
      </w:r>
      <w:r w:rsidRPr="001817B8">
        <w:t xml:space="preserve">Samobora za razdoblje od 1. siječnja do </w:t>
      </w:r>
      <w:r w:rsidR="00297CBB">
        <w:t>31.12.</w:t>
      </w:r>
      <w:r w:rsidR="00C24170">
        <w:t>2025</w:t>
      </w:r>
      <w:r w:rsidRPr="001817B8">
        <w:t>. godine u ukupnom iznosu od</w:t>
      </w:r>
      <w:r>
        <w:t xml:space="preserve"> </w:t>
      </w:r>
      <w:r w:rsidR="00256902">
        <w:rPr>
          <w:rFonts w:ascii="Calibri" w:eastAsia="Times New Roman" w:hAnsi="Calibri" w:cs="Calibri"/>
          <w:b/>
          <w:bCs/>
          <w:lang w:eastAsia="hr-HR"/>
        </w:rPr>
        <w:t>1.</w:t>
      </w:r>
      <w:r w:rsidR="00C0165F">
        <w:rPr>
          <w:rFonts w:ascii="Calibri" w:eastAsia="Times New Roman" w:hAnsi="Calibri" w:cs="Calibri"/>
          <w:b/>
          <w:bCs/>
          <w:lang w:eastAsia="hr-HR"/>
        </w:rPr>
        <w:t>729.934,58</w:t>
      </w:r>
      <w:r>
        <w:rPr>
          <w:rFonts w:ascii="Calibri" w:eastAsia="Times New Roman" w:hAnsi="Calibri" w:cs="Calibri"/>
          <w:b/>
          <w:bCs/>
          <w:lang w:eastAsia="hr-HR"/>
        </w:rPr>
        <w:t xml:space="preserve"> EUR </w:t>
      </w:r>
      <w:r w:rsidRPr="001817B8">
        <w:t>, s usporednim pokazateljima ostvarenja rashoda i izdataka za 202</w:t>
      </w:r>
      <w:r w:rsidR="00C0165F">
        <w:t>4</w:t>
      </w:r>
      <w:r w:rsidRPr="001817B8">
        <w:t>. godinu, je kako slijedi:</w:t>
      </w:r>
      <w:r w:rsidR="00FF4809">
        <w:rPr>
          <w:b/>
          <w:bCs/>
        </w:rPr>
        <w:fldChar w:fldCharType="begin"/>
      </w:r>
      <w:r w:rsidR="00FF4809">
        <w:rPr>
          <w:b/>
          <w:bCs/>
        </w:rPr>
        <w:instrText xml:space="preserve"> LINK Excel.Sheet.12 "Knjiga1" "List2!R1C1:R10C6" \a \f 5 \h  \* MERGEFORMAT </w:instrText>
      </w:r>
      <w:r w:rsidR="00FF4809">
        <w:rPr>
          <w:b/>
          <w:bCs/>
        </w:rPr>
        <w:fldChar w:fldCharType="separate"/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1454"/>
        <w:gridCol w:w="1489"/>
        <w:gridCol w:w="1588"/>
        <w:gridCol w:w="1985"/>
        <w:gridCol w:w="1124"/>
        <w:gridCol w:w="1422"/>
      </w:tblGrid>
      <w:tr w:rsidR="00FF4809" w:rsidRPr="00FF4809" w14:paraId="11CA762B" w14:textId="77777777" w:rsidTr="00FF4809">
        <w:trPr>
          <w:trHeight w:val="855"/>
        </w:trPr>
        <w:tc>
          <w:tcPr>
            <w:tcW w:w="1454" w:type="dxa"/>
            <w:hideMark/>
          </w:tcPr>
          <w:p w14:paraId="519ECE3F" w14:textId="6EFFE639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 xml:space="preserve">Naziv </w:t>
            </w:r>
          </w:p>
        </w:tc>
        <w:tc>
          <w:tcPr>
            <w:tcW w:w="1489" w:type="dxa"/>
            <w:hideMark/>
          </w:tcPr>
          <w:p w14:paraId="545B20A6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Izvršenje 2024.</w:t>
            </w:r>
          </w:p>
        </w:tc>
        <w:tc>
          <w:tcPr>
            <w:tcW w:w="1588" w:type="dxa"/>
            <w:hideMark/>
          </w:tcPr>
          <w:p w14:paraId="4700715F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Plan 2025.</w:t>
            </w:r>
          </w:p>
        </w:tc>
        <w:tc>
          <w:tcPr>
            <w:tcW w:w="1985" w:type="dxa"/>
            <w:hideMark/>
          </w:tcPr>
          <w:p w14:paraId="770A2705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Izvršenje 2025.</w:t>
            </w:r>
          </w:p>
        </w:tc>
        <w:tc>
          <w:tcPr>
            <w:tcW w:w="1124" w:type="dxa"/>
            <w:hideMark/>
          </w:tcPr>
          <w:p w14:paraId="5B87DF07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 xml:space="preserve">Indeks/izvr.25/izvr.24 </w:t>
            </w:r>
          </w:p>
        </w:tc>
        <w:tc>
          <w:tcPr>
            <w:tcW w:w="1422" w:type="dxa"/>
            <w:hideMark/>
          </w:tcPr>
          <w:p w14:paraId="06840542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Indeks/ izvr.25/plan25</w:t>
            </w:r>
          </w:p>
        </w:tc>
      </w:tr>
      <w:tr w:rsidR="00FF4809" w:rsidRPr="00FF4809" w14:paraId="3BFE07B8" w14:textId="77777777" w:rsidTr="00FF4809">
        <w:trPr>
          <w:trHeight w:val="300"/>
        </w:trPr>
        <w:tc>
          <w:tcPr>
            <w:tcW w:w="1454" w:type="dxa"/>
            <w:hideMark/>
          </w:tcPr>
          <w:p w14:paraId="1F240426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RASHODI UKUPNO</w:t>
            </w:r>
          </w:p>
        </w:tc>
        <w:tc>
          <w:tcPr>
            <w:tcW w:w="1489" w:type="dxa"/>
            <w:noWrap/>
            <w:hideMark/>
          </w:tcPr>
          <w:p w14:paraId="43BFE5F2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1.354.484,86</w:t>
            </w:r>
          </w:p>
        </w:tc>
        <w:tc>
          <w:tcPr>
            <w:tcW w:w="1588" w:type="dxa"/>
            <w:noWrap/>
            <w:hideMark/>
          </w:tcPr>
          <w:p w14:paraId="33E53AF9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1.954.137,00</w:t>
            </w:r>
          </w:p>
        </w:tc>
        <w:tc>
          <w:tcPr>
            <w:tcW w:w="1985" w:type="dxa"/>
            <w:noWrap/>
            <w:hideMark/>
          </w:tcPr>
          <w:p w14:paraId="7C1435EC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1.729.934,58</w:t>
            </w:r>
          </w:p>
        </w:tc>
        <w:tc>
          <w:tcPr>
            <w:tcW w:w="1124" w:type="dxa"/>
            <w:noWrap/>
            <w:hideMark/>
          </w:tcPr>
          <w:p w14:paraId="2E65AC46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128%</w:t>
            </w:r>
          </w:p>
        </w:tc>
        <w:tc>
          <w:tcPr>
            <w:tcW w:w="1422" w:type="dxa"/>
            <w:noWrap/>
            <w:hideMark/>
          </w:tcPr>
          <w:p w14:paraId="0D8ED7EB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89%</w:t>
            </w:r>
          </w:p>
        </w:tc>
      </w:tr>
      <w:tr w:rsidR="00FF4809" w:rsidRPr="00FF4809" w14:paraId="2B9F6228" w14:textId="77777777" w:rsidTr="00FF4809">
        <w:trPr>
          <w:trHeight w:val="600"/>
        </w:trPr>
        <w:tc>
          <w:tcPr>
            <w:tcW w:w="1454" w:type="dxa"/>
            <w:hideMark/>
          </w:tcPr>
          <w:p w14:paraId="1B7B0446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3 Rashodi poslovanja</w:t>
            </w:r>
          </w:p>
        </w:tc>
        <w:tc>
          <w:tcPr>
            <w:tcW w:w="1489" w:type="dxa"/>
            <w:noWrap/>
            <w:hideMark/>
          </w:tcPr>
          <w:p w14:paraId="595FB085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1.280.808,86</w:t>
            </w:r>
          </w:p>
        </w:tc>
        <w:tc>
          <w:tcPr>
            <w:tcW w:w="1588" w:type="dxa"/>
            <w:noWrap/>
            <w:hideMark/>
          </w:tcPr>
          <w:p w14:paraId="4703B5E8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1.846.593,00</w:t>
            </w:r>
          </w:p>
        </w:tc>
        <w:tc>
          <w:tcPr>
            <w:tcW w:w="1985" w:type="dxa"/>
            <w:noWrap/>
            <w:hideMark/>
          </w:tcPr>
          <w:p w14:paraId="74666C14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1.648.437,18</w:t>
            </w:r>
          </w:p>
        </w:tc>
        <w:tc>
          <w:tcPr>
            <w:tcW w:w="1124" w:type="dxa"/>
            <w:noWrap/>
            <w:hideMark/>
          </w:tcPr>
          <w:p w14:paraId="184D4390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129%</w:t>
            </w:r>
          </w:p>
        </w:tc>
        <w:tc>
          <w:tcPr>
            <w:tcW w:w="1422" w:type="dxa"/>
            <w:noWrap/>
            <w:hideMark/>
          </w:tcPr>
          <w:p w14:paraId="6725AE5F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89%</w:t>
            </w:r>
          </w:p>
        </w:tc>
      </w:tr>
      <w:tr w:rsidR="00FF4809" w:rsidRPr="00FF4809" w14:paraId="0062C76A" w14:textId="77777777" w:rsidTr="00FF4809">
        <w:trPr>
          <w:trHeight w:val="600"/>
        </w:trPr>
        <w:tc>
          <w:tcPr>
            <w:tcW w:w="1454" w:type="dxa"/>
            <w:hideMark/>
          </w:tcPr>
          <w:p w14:paraId="1C8564BC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31 Rashodi za zaposlene</w:t>
            </w:r>
          </w:p>
        </w:tc>
        <w:tc>
          <w:tcPr>
            <w:tcW w:w="1489" w:type="dxa"/>
            <w:noWrap/>
            <w:hideMark/>
          </w:tcPr>
          <w:p w14:paraId="44764FB9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514.211,49</w:t>
            </w:r>
          </w:p>
        </w:tc>
        <w:tc>
          <w:tcPr>
            <w:tcW w:w="1588" w:type="dxa"/>
            <w:noWrap/>
            <w:hideMark/>
          </w:tcPr>
          <w:p w14:paraId="09DD345E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708.200,00</w:t>
            </w:r>
          </w:p>
        </w:tc>
        <w:tc>
          <w:tcPr>
            <w:tcW w:w="1985" w:type="dxa"/>
            <w:noWrap/>
            <w:hideMark/>
          </w:tcPr>
          <w:p w14:paraId="062EAA8E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655.435,02</w:t>
            </w:r>
          </w:p>
        </w:tc>
        <w:tc>
          <w:tcPr>
            <w:tcW w:w="1124" w:type="dxa"/>
            <w:noWrap/>
            <w:hideMark/>
          </w:tcPr>
          <w:p w14:paraId="4751CA19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127%</w:t>
            </w:r>
          </w:p>
        </w:tc>
        <w:tc>
          <w:tcPr>
            <w:tcW w:w="1422" w:type="dxa"/>
            <w:noWrap/>
            <w:hideMark/>
          </w:tcPr>
          <w:p w14:paraId="27C309FC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93%</w:t>
            </w:r>
          </w:p>
        </w:tc>
      </w:tr>
      <w:tr w:rsidR="00FF4809" w:rsidRPr="00FF4809" w14:paraId="5CFFA70E" w14:textId="77777777" w:rsidTr="00FF4809">
        <w:trPr>
          <w:trHeight w:val="600"/>
        </w:trPr>
        <w:tc>
          <w:tcPr>
            <w:tcW w:w="1454" w:type="dxa"/>
            <w:hideMark/>
          </w:tcPr>
          <w:p w14:paraId="6888F031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32 Materijalni rashodi</w:t>
            </w:r>
          </w:p>
        </w:tc>
        <w:tc>
          <w:tcPr>
            <w:tcW w:w="1489" w:type="dxa"/>
            <w:noWrap/>
            <w:hideMark/>
          </w:tcPr>
          <w:p w14:paraId="68737AF7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765.238,54</w:t>
            </w:r>
          </w:p>
        </w:tc>
        <w:tc>
          <w:tcPr>
            <w:tcW w:w="1588" w:type="dxa"/>
            <w:noWrap/>
            <w:hideMark/>
          </w:tcPr>
          <w:p w14:paraId="314144ED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1.122.893,00</w:t>
            </w:r>
          </w:p>
        </w:tc>
        <w:tc>
          <w:tcPr>
            <w:tcW w:w="1985" w:type="dxa"/>
            <w:noWrap/>
            <w:hideMark/>
          </w:tcPr>
          <w:p w14:paraId="2FFE00DB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991.517,98</w:t>
            </w:r>
          </w:p>
        </w:tc>
        <w:tc>
          <w:tcPr>
            <w:tcW w:w="1124" w:type="dxa"/>
            <w:noWrap/>
            <w:hideMark/>
          </w:tcPr>
          <w:p w14:paraId="3E739359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130%</w:t>
            </w:r>
          </w:p>
        </w:tc>
        <w:tc>
          <w:tcPr>
            <w:tcW w:w="1422" w:type="dxa"/>
            <w:noWrap/>
            <w:hideMark/>
          </w:tcPr>
          <w:p w14:paraId="72E8833D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88%</w:t>
            </w:r>
          </w:p>
        </w:tc>
      </w:tr>
      <w:tr w:rsidR="00FF4809" w:rsidRPr="00FF4809" w14:paraId="03A430E1" w14:textId="77777777" w:rsidTr="00FF4809">
        <w:trPr>
          <w:trHeight w:val="600"/>
        </w:trPr>
        <w:tc>
          <w:tcPr>
            <w:tcW w:w="1454" w:type="dxa"/>
            <w:hideMark/>
          </w:tcPr>
          <w:p w14:paraId="56B8B381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34 Financijski rashodi</w:t>
            </w:r>
          </w:p>
        </w:tc>
        <w:tc>
          <w:tcPr>
            <w:tcW w:w="1489" w:type="dxa"/>
            <w:noWrap/>
            <w:hideMark/>
          </w:tcPr>
          <w:p w14:paraId="06CB3987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1.358,83</w:t>
            </w:r>
          </w:p>
        </w:tc>
        <w:tc>
          <w:tcPr>
            <w:tcW w:w="1588" w:type="dxa"/>
            <w:noWrap/>
            <w:hideMark/>
          </w:tcPr>
          <w:p w14:paraId="3D6AA578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2.900,00</w:t>
            </w:r>
          </w:p>
        </w:tc>
        <w:tc>
          <w:tcPr>
            <w:tcW w:w="1985" w:type="dxa"/>
            <w:noWrap/>
            <w:hideMark/>
          </w:tcPr>
          <w:p w14:paraId="3F5AB3A0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1.484,18</w:t>
            </w:r>
          </w:p>
        </w:tc>
        <w:tc>
          <w:tcPr>
            <w:tcW w:w="1124" w:type="dxa"/>
            <w:noWrap/>
            <w:hideMark/>
          </w:tcPr>
          <w:p w14:paraId="15A9E276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109%</w:t>
            </w:r>
          </w:p>
        </w:tc>
        <w:tc>
          <w:tcPr>
            <w:tcW w:w="1422" w:type="dxa"/>
            <w:noWrap/>
            <w:hideMark/>
          </w:tcPr>
          <w:p w14:paraId="31617A79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51%</w:t>
            </w:r>
          </w:p>
        </w:tc>
      </w:tr>
      <w:tr w:rsidR="00FF4809" w:rsidRPr="00FF4809" w14:paraId="2D131096" w14:textId="77777777" w:rsidTr="00FF4809">
        <w:trPr>
          <w:trHeight w:val="300"/>
        </w:trPr>
        <w:tc>
          <w:tcPr>
            <w:tcW w:w="1454" w:type="dxa"/>
            <w:hideMark/>
          </w:tcPr>
          <w:p w14:paraId="4CF3CEB3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38 Ostali rashodi</w:t>
            </w:r>
          </w:p>
        </w:tc>
        <w:tc>
          <w:tcPr>
            <w:tcW w:w="1489" w:type="dxa"/>
            <w:noWrap/>
            <w:hideMark/>
          </w:tcPr>
          <w:p w14:paraId="404D9440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0,00</w:t>
            </w:r>
          </w:p>
        </w:tc>
        <w:tc>
          <w:tcPr>
            <w:tcW w:w="1588" w:type="dxa"/>
            <w:noWrap/>
            <w:hideMark/>
          </w:tcPr>
          <w:p w14:paraId="7B3D3250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12.600,00</w:t>
            </w:r>
          </w:p>
        </w:tc>
        <w:tc>
          <w:tcPr>
            <w:tcW w:w="1985" w:type="dxa"/>
            <w:noWrap/>
            <w:hideMark/>
          </w:tcPr>
          <w:p w14:paraId="75C029CF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0,00</w:t>
            </w:r>
          </w:p>
        </w:tc>
        <w:tc>
          <w:tcPr>
            <w:tcW w:w="1124" w:type="dxa"/>
            <w:noWrap/>
            <w:hideMark/>
          </w:tcPr>
          <w:p w14:paraId="6810E90D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0%</w:t>
            </w:r>
          </w:p>
        </w:tc>
        <w:tc>
          <w:tcPr>
            <w:tcW w:w="1422" w:type="dxa"/>
            <w:noWrap/>
            <w:hideMark/>
          </w:tcPr>
          <w:p w14:paraId="6BC9857E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0%</w:t>
            </w:r>
          </w:p>
        </w:tc>
      </w:tr>
      <w:tr w:rsidR="00FF4809" w:rsidRPr="00FF4809" w14:paraId="6B237636" w14:textId="77777777" w:rsidTr="00FF4809">
        <w:trPr>
          <w:trHeight w:val="900"/>
        </w:trPr>
        <w:tc>
          <w:tcPr>
            <w:tcW w:w="1454" w:type="dxa"/>
            <w:hideMark/>
          </w:tcPr>
          <w:p w14:paraId="4F700DDA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4 Rashodi za nabavu nefinancijske imovine</w:t>
            </w:r>
          </w:p>
        </w:tc>
        <w:tc>
          <w:tcPr>
            <w:tcW w:w="1489" w:type="dxa"/>
            <w:noWrap/>
            <w:hideMark/>
          </w:tcPr>
          <w:p w14:paraId="18D0495A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73.676,00</w:t>
            </w:r>
          </w:p>
        </w:tc>
        <w:tc>
          <w:tcPr>
            <w:tcW w:w="1588" w:type="dxa"/>
            <w:noWrap/>
            <w:hideMark/>
          </w:tcPr>
          <w:p w14:paraId="099ABD6B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107.544,00</w:t>
            </w:r>
          </w:p>
        </w:tc>
        <w:tc>
          <w:tcPr>
            <w:tcW w:w="1985" w:type="dxa"/>
            <w:noWrap/>
            <w:hideMark/>
          </w:tcPr>
          <w:p w14:paraId="10615C6F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81.497,40</w:t>
            </w:r>
          </w:p>
        </w:tc>
        <w:tc>
          <w:tcPr>
            <w:tcW w:w="1124" w:type="dxa"/>
            <w:noWrap/>
            <w:hideMark/>
          </w:tcPr>
          <w:p w14:paraId="0223C866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111%</w:t>
            </w:r>
          </w:p>
        </w:tc>
        <w:tc>
          <w:tcPr>
            <w:tcW w:w="1422" w:type="dxa"/>
            <w:noWrap/>
            <w:hideMark/>
          </w:tcPr>
          <w:p w14:paraId="31CB9BC4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76%</w:t>
            </w:r>
          </w:p>
        </w:tc>
      </w:tr>
      <w:tr w:rsidR="00FF4809" w:rsidRPr="00FF4809" w14:paraId="007E223C" w14:textId="77777777" w:rsidTr="00FF4809">
        <w:trPr>
          <w:trHeight w:val="1200"/>
        </w:trPr>
        <w:tc>
          <w:tcPr>
            <w:tcW w:w="1454" w:type="dxa"/>
            <w:hideMark/>
          </w:tcPr>
          <w:p w14:paraId="4A7AD573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 xml:space="preserve">41 Rashodi za nabavu </w:t>
            </w:r>
            <w:proofErr w:type="spellStart"/>
            <w:r w:rsidRPr="00FF4809">
              <w:rPr>
                <w:b/>
                <w:bCs/>
              </w:rPr>
              <w:t>neproizvedene</w:t>
            </w:r>
            <w:proofErr w:type="spellEnd"/>
            <w:r w:rsidRPr="00FF4809">
              <w:rPr>
                <w:b/>
                <w:bCs/>
              </w:rPr>
              <w:t xml:space="preserve"> dugotrajne imovine </w:t>
            </w:r>
          </w:p>
        </w:tc>
        <w:tc>
          <w:tcPr>
            <w:tcW w:w="1489" w:type="dxa"/>
            <w:noWrap/>
            <w:hideMark/>
          </w:tcPr>
          <w:p w14:paraId="655B82E7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2.040,68</w:t>
            </w:r>
          </w:p>
        </w:tc>
        <w:tc>
          <w:tcPr>
            <w:tcW w:w="1588" w:type="dxa"/>
            <w:noWrap/>
            <w:hideMark/>
          </w:tcPr>
          <w:p w14:paraId="02B9C7DD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8.624,00</w:t>
            </w:r>
          </w:p>
        </w:tc>
        <w:tc>
          <w:tcPr>
            <w:tcW w:w="1985" w:type="dxa"/>
            <w:noWrap/>
            <w:hideMark/>
          </w:tcPr>
          <w:p w14:paraId="2C352B00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4.124,27</w:t>
            </w:r>
          </w:p>
        </w:tc>
        <w:tc>
          <w:tcPr>
            <w:tcW w:w="1124" w:type="dxa"/>
            <w:noWrap/>
            <w:hideMark/>
          </w:tcPr>
          <w:p w14:paraId="0EBF5DF2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202%</w:t>
            </w:r>
          </w:p>
        </w:tc>
        <w:tc>
          <w:tcPr>
            <w:tcW w:w="1422" w:type="dxa"/>
            <w:noWrap/>
            <w:hideMark/>
          </w:tcPr>
          <w:p w14:paraId="5E83C735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48%</w:t>
            </w:r>
          </w:p>
        </w:tc>
      </w:tr>
      <w:tr w:rsidR="00FF4809" w:rsidRPr="00FF4809" w14:paraId="789284AB" w14:textId="77777777" w:rsidTr="00FF4809">
        <w:trPr>
          <w:trHeight w:val="900"/>
        </w:trPr>
        <w:tc>
          <w:tcPr>
            <w:tcW w:w="1454" w:type="dxa"/>
            <w:hideMark/>
          </w:tcPr>
          <w:p w14:paraId="01F41372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 xml:space="preserve">42 Rashodi za nabavu proizvedene dugotrajne imovine </w:t>
            </w:r>
          </w:p>
        </w:tc>
        <w:tc>
          <w:tcPr>
            <w:tcW w:w="1489" w:type="dxa"/>
            <w:noWrap/>
            <w:hideMark/>
          </w:tcPr>
          <w:p w14:paraId="0B9AA002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71.635,32</w:t>
            </w:r>
          </w:p>
        </w:tc>
        <w:tc>
          <w:tcPr>
            <w:tcW w:w="1588" w:type="dxa"/>
            <w:noWrap/>
            <w:hideMark/>
          </w:tcPr>
          <w:p w14:paraId="45F9366B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98.920,00</w:t>
            </w:r>
          </w:p>
        </w:tc>
        <w:tc>
          <w:tcPr>
            <w:tcW w:w="1985" w:type="dxa"/>
            <w:noWrap/>
            <w:hideMark/>
          </w:tcPr>
          <w:p w14:paraId="04A96F3A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77.373,13</w:t>
            </w:r>
          </w:p>
        </w:tc>
        <w:tc>
          <w:tcPr>
            <w:tcW w:w="1124" w:type="dxa"/>
            <w:noWrap/>
            <w:hideMark/>
          </w:tcPr>
          <w:p w14:paraId="731CC1F5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108%</w:t>
            </w:r>
          </w:p>
        </w:tc>
        <w:tc>
          <w:tcPr>
            <w:tcW w:w="1422" w:type="dxa"/>
            <w:noWrap/>
            <w:hideMark/>
          </w:tcPr>
          <w:p w14:paraId="3149D58E" w14:textId="77777777" w:rsidR="00FF4809" w:rsidRPr="00FF4809" w:rsidRDefault="00FF4809" w:rsidP="00FF4809">
            <w:pPr>
              <w:jc w:val="both"/>
              <w:rPr>
                <w:b/>
                <w:bCs/>
              </w:rPr>
            </w:pPr>
            <w:r w:rsidRPr="00FF4809">
              <w:rPr>
                <w:b/>
                <w:bCs/>
              </w:rPr>
              <w:t>78%</w:t>
            </w:r>
          </w:p>
        </w:tc>
      </w:tr>
    </w:tbl>
    <w:p w14:paraId="06ECFF28" w14:textId="27F89D64" w:rsidR="00424B69" w:rsidRDefault="00FF4809" w:rsidP="00E339F4">
      <w:pPr>
        <w:jc w:val="both"/>
        <w:rPr>
          <w:b/>
          <w:bCs/>
        </w:rPr>
      </w:pPr>
      <w:r>
        <w:rPr>
          <w:b/>
          <w:bCs/>
        </w:rPr>
        <w:fldChar w:fldCharType="end"/>
      </w:r>
    </w:p>
    <w:p w14:paraId="14C5F368" w14:textId="6C910C4E" w:rsidR="000521C8" w:rsidRPr="00F05485" w:rsidRDefault="000521C8" w:rsidP="000521C8">
      <w:pPr>
        <w:ind w:firstLine="708"/>
        <w:jc w:val="both"/>
      </w:pPr>
      <w:r w:rsidRPr="00F05485">
        <w:t>Ukupno izvršeni rashodi i izdaci u razdoblju od 01.01. – 3</w:t>
      </w:r>
      <w:r w:rsidR="00EF6D9D">
        <w:t>1.12</w:t>
      </w:r>
      <w:r w:rsidRPr="00F05485">
        <w:t>.202</w:t>
      </w:r>
      <w:r w:rsidR="00FF4809">
        <w:t>5</w:t>
      </w:r>
      <w:r w:rsidRPr="00F05485">
        <w:t xml:space="preserve">. godine iznose </w:t>
      </w:r>
      <w:r w:rsidR="00FF4809">
        <w:t>1.729.934</w:t>
      </w:r>
      <w:r w:rsidR="00BA78EC">
        <w:t>,58 EUR</w:t>
      </w:r>
      <w:r w:rsidRPr="00F05485">
        <w:t xml:space="preserve"> ili </w:t>
      </w:r>
      <w:r w:rsidR="00BA78EC">
        <w:t>89</w:t>
      </w:r>
      <w:r w:rsidRPr="00F05485">
        <w:t>% proračunom planiranih rashoda i izdataka, a u odnosu na isto</w:t>
      </w:r>
      <w:r>
        <w:t xml:space="preserve"> </w:t>
      </w:r>
      <w:r w:rsidRPr="00F05485">
        <w:t>razdoblje 202</w:t>
      </w:r>
      <w:r w:rsidR="00BA78EC">
        <w:t>4</w:t>
      </w:r>
      <w:r w:rsidRPr="00F05485">
        <w:t xml:space="preserve">. godine </w:t>
      </w:r>
      <w:r>
        <w:t>veći s</w:t>
      </w:r>
      <w:r w:rsidRPr="00F05485">
        <w:t xml:space="preserve">u za </w:t>
      </w:r>
      <w:r w:rsidR="00BA78EC">
        <w:t>28</w:t>
      </w:r>
      <w:r w:rsidRPr="00F05485">
        <w:t>%.</w:t>
      </w:r>
    </w:p>
    <w:p w14:paraId="09179881" w14:textId="70D61A99" w:rsidR="000521C8" w:rsidRPr="00C175B2" w:rsidRDefault="000521C8" w:rsidP="000521C8">
      <w:pPr>
        <w:ind w:firstLine="709"/>
        <w:jc w:val="both"/>
      </w:pPr>
      <w:r w:rsidRPr="00C175B2">
        <w:lastRenderedPageBreak/>
        <w:t xml:space="preserve">U strukturi ukupno izvršenih rashoda i izdataka najveći udio imaju rashodi poslovanja koji su izvršeni u iznosu od </w:t>
      </w:r>
      <w:r w:rsidR="00B37C12">
        <w:t>1.</w:t>
      </w:r>
      <w:r w:rsidR="00BA78EC">
        <w:t>6</w:t>
      </w:r>
      <w:r w:rsidR="00AB212B">
        <w:t xml:space="preserve">48.437,18 </w:t>
      </w:r>
      <w:r>
        <w:t xml:space="preserve">EUR </w:t>
      </w:r>
      <w:r w:rsidRPr="00C175B2">
        <w:t xml:space="preserve"> ili sa </w:t>
      </w:r>
      <w:r w:rsidR="00E26D7E">
        <w:t>9</w:t>
      </w:r>
      <w:r w:rsidR="00FE0A04">
        <w:t>5</w:t>
      </w:r>
      <w:r w:rsidRPr="00C175B2">
        <w:t xml:space="preserve">% udjela, zatim rashodi za nabavu nefinancijske imovine koji su izvršeni u iznosu od </w:t>
      </w:r>
      <w:r w:rsidR="00FE0A04">
        <w:t xml:space="preserve">81.497,40 </w:t>
      </w:r>
      <w:r>
        <w:t xml:space="preserve">EUR </w:t>
      </w:r>
      <w:r w:rsidRPr="00C175B2">
        <w:t xml:space="preserve"> ili sa </w:t>
      </w:r>
      <w:r w:rsidR="00FE0A04">
        <w:t>5</w:t>
      </w:r>
      <w:r w:rsidRPr="00C175B2">
        <w:t xml:space="preserve">% udjela, </w:t>
      </w:r>
    </w:p>
    <w:p w14:paraId="7B795C74" w14:textId="77777777" w:rsidR="000521C8" w:rsidRDefault="000521C8" w:rsidP="00E339F4">
      <w:pPr>
        <w:jc w:val="both"/>
      </w:pPr>
    </w:p>
    <w:p w14:paraId="611699D6" w14:textId="0DB0D79B" w:rsidR="00424B69" w:rsidRPr="00424B69" w:rsidRDefault="00424B69" w:rsidP="00424B69">
      <w:pPr>
        <w:pStyle w:val="ListParagraph"/>
        <w:numPr>
          <w:ilvl w:val="1"/>
          <w:numId w:val="1"/>
        </w:numPr>
        <w:jc w:val="both"/>
        <w:rPr>
          <w:b/>
          <w:bCs/>
        </w:rPr>
      </w:pPr>
      <w:r w:rsidRPr="00424B69">
        <w:rPr>
          <w:b/>
          <w:bCs/>
        </w:rPr>
        <w:t>RASHODI POSLOVANJA</w:t>
      </w:r>
    </w:p>
    <w:p w14:paraId="544BFB39" w14:textId="0BEAC48F" w:rsidR="00424B69" w:rsidRPr="009F70C4" w:rsidRDefault="00424B69" w:rsidP="00424B69">
      <w:pPr>
        <w:jc w:val="both"/>
        <w:rPr>
          <w:b/>
          <w:bCs/>
        </w:rPr>
      </w:pPr>
      <w:r>
        <w:t>Rashodi poslo</w:t>
      </w:r>
      <w:r w:rsidR="00527911">
        <w:t xml:space="preserve">vanja (razred 3 – rashodi za zaposlene, materijalni rashodi) za </w:t>
      </w:r>
      <w:r w:rsidR="00FB06C8">
        <w:t>razdoblje od 1-</w:t>
      </w:r>
      <w:r w:rsidR="00681C3D">
        <w:t>12</w:t>
      </w:r>
      <w:r w:rsidR="00FB06C8">
        <w:t>.202</w:t>
      </w:r>
      <w:r w:rsidR="00E92F38">
        <w:t>5</w:t>
      </w:r>
      <w:r w:rsidR="00FB06C8">
        <w:t xml:space="preserve"> </w:t>
      </w:r>
      <w:r w:rsidR="00527911">
        <w:t xml:space="preserve">. </w:t>
      </w:r>
      <w:r w:rsidR="00FB06C8">
        <w:t xml:space="preserve">izvršeni su </w:t>
      </w:r>
      <w:r w:rsidR="00527911">
        <w:t xml:space="preserve"> u iznosu od </w:t>
      </w:r>
      <w:r w:rsidR="00681C3D">
        <w:t>1.</w:t>
      </w:r>
      <w:r w:rsidR="00E92F38">
        <w:t>648.437,18 EUR</w:t>
      </w:r>
      <w:r w:rsidR="00527911">
        <w:t>,</w:t>
      </w:r>
      <w:r w:rsidR="00EA3613">
        <w:t xml:space="preserve"> </w:t>
      </w:r>
      <w:r w:rsidR="00FB06C8">
        <w:t xml:space="preserve"> što predstavlja izvršenje od </w:t>
      </w:r>
      <w:r w:rsidR="00841400">
        <w:t>8</w:t>
      </w:r>
      <w:r w:rsidR="00E92F38">
        <w:t>9</w:t>
      </w:r>
      <w:r w:rsidR="00FB06C8">
        <w:t>% u odnosu na plan za 202</w:t>
      </w:r>
      <w:r w:rsidR="00E92F38">
        <w:t>5.</w:t>
      </w:r>
      <w:r w:rsidR="00FB06C8">
        <w:t xml:space="preserve">, te predstavlja povećanje za </w:t>
      </w:r>
      <w:r w:rsidR="00A35E84">
        <w:t>2</w:t>
      </w:r>
      <w:r w:rsidR="00E92F38">
        <w:t>9</w:t>
      </w:r>
      <w:r w:rsidR="00FB06C8">
        <w:t>% u odnosu na isto razdoblje 202</w:t>
      </w:r>
      <w:r w:rsidR="00E92F38">
        <w:t>4</w:t>
      </w:r>
      <w:r w:rsidR="00FB06C8">
        <w:t xml:space="preserve">., a  odnose se na </w:t>
      </w:r>
    </w:p>
    <w:p w14:paraId="6128ED4D" w14:textId="24775E65" w:rsidR="00527911" w:rsidRDefault="00527911" w:rsidP="00424B69">
      <w:pPr>
        <w:jc w:val="both"/>
      </w:pPr>
      <w:r>
        <w:tab/>
      </w:r>
      <w:r w:rsidRPr="00527911">
        <w:rPr>
          <w:b/>
          <w:bCs/>
        </w:rPr>
        <w:t>31</w:t>
      </w:r>
      <w:r w:rsidR="00FB06C8">
        <w:rPr>
          <w:b/>
          <w:bCs/>
        </w:rPr>
        <w:t xml:space="preserve">- Rashodi za zaposlene  </w:t>
      </w:r>
      <w:r>
        <w:t xml:space="preserve"> – </w:t>
      </w:r>
      <w:r w:rsidR="00FB06C8">
        <w:t xml:space="preserve"> </w:t>
      </w:r>
      <w:r w:rsidR="00FB06C8" w:rsidRPr="008044AD">
        <w:rPr>
          <w:b/>
          <w:bCs/>
        </w:rPr>
        <w:t xml:space="preserve">izvršeni su u iznosu od </w:t>
      </w:r>
      <w:r w:rsidR="00E92F38">
        <w:rPr>
          <w:b/>
          <w:bCs/>
        </w:rPr>
        <w:t>655.435,02</w:t>
      </w:r>
      <w:r w:rsidR="00FB06C8" w:rsidRPr="008044AD">
        <w:rPr>
          <w:b/>
          <w:bCs/>
        </w:rPr>
        <w:t xml:space="preserve"> </w:t>
      </w:r>
      <w:r w:rsidR="00011824">
        <w:rPr>
          <w:b/>
          <w:bCs/>
        </w:rPr>
        <w:t>EUR</w:t>
      </w:r>
      <w:r w:rsidR="000C2C32">
        <w:rPr>
          <w:b/>
          <w:bCs/>
        </w:rPr>
        <w:t>,</w:t>
      </w:r>
      <w:r w:rsidR="00FB06C8">
        <w:t xml:space="preserve"> što predstavlja izvršenje u odnosu na plan od </w:t>
      </w:r>
      <w:r w:rsidR="00A35E84">
        <w:t>9</w:t>
      </w:r>
      <w:r w:rsidR="00E92F38">
        <w:t>3</w:t>
      </w:r>
      <w:r w:rsidR="00A35E84">
        <w:t xml:space="preserve">% </w:t>
      </w:r>
      <w:r w:rsidR="00FB06C8">
        <w:t xml:space="preserve">te su veći za </w:t>
      </w:r>
      <w:r w:rsidR="00A35E84">
        <w:t xml:space="preserve">27 </w:t>
      </w:r>
      <w:r w:rsidR="00FB06C8">
        <w:t>% u odnosu na isto razdoblje 202</w:t>
      </w:r>
      <w:r w:rsidR="00E92F38">
        <w:t>4.</w:t>
      </w:r>
      <w:r w:rsidR="00FB06C8">
        <w:t xml:space="preserve">, a udio u ukupnim rashodima poslovanja  iznosi </w:t>
      </w:r>
      <w:r w:rsidR="005F1604">
        <w:t>40</w:t>
      </w:r>
      <w:r w:rsidR="00FB06C8">
        <w:t xml:space="preserve">%,  a odnose se na rashode za zaposlene koje </w:t>
      </w:r>
      <w:r>
        <w:t xml:space="preserve">obuhvaćaju bruto plaće, doprinose na plaću i ostale rashode za </w:t>
      </w:r>
      <w:r w:rsidR="005F1604">
        <w:t>21</w:t>
      </w:r>
      <w:r>
        <w:t xml:space="preserve"> zaposlenih</w:t>
      </w:r>
      <w:r w:rsidR="009D1A28">
        <w:t xml:space="preserve"> te novo radno mjesto referenta za tehničke i opće poslove</w:t>
      </w:r>
      <w:r>
        <w:t xml:space="preserve">. </w:t>
      </w:r>
      <w:r w:rsidR="00FB06C8">
        <w:t>Izvršeni su u iznosu kako slijedi:</w:t>
      </w:r>
    </w:p>
    <w:p w14:paraId="1974258F" w14:textId="3353CF02" w:rsidR="00946046" w:rsidRDefault="00946046" w:rsidP="00946046">
      <w:pPr>
        <w:pStyle w:val="ListParagraph"/>
        <w:numPr>
          <w:ilvl w:val="0"/>
          <w:numId w:val="2"/>
        </w:numPr>
        <w:jc w:val="both"/>
      </w:pPr>
      <w:r>
        <w:t xml:space="preserve">311 </w:t>
      </w:r>
      <w:r w:rsidR="004F2325">
        <w:t>- bruto plaća (</w:t>
      </w:r>
      <w:r w:rsidR="004912BA">
        <w:t xml:space="preserve"> </w:t>
      </w:r>
      <w:r w:rsidR="00D67D17">
        <w:t>503.537,12 EUR</w:t>
      </w:r>
      <w:r w:rsidR="004F2325">
        <w:t>)</w:t>
      </w:r>
    </w:p>
    <w:p w14:paraId="143BC2DD" w14:textId="6D82BECD" w:rsidR="00946046" w:rsidRDefault="004F2325" w:rsidP="00946046">
      <w:pPr>
        <w:pStyle w:val="ListParagraph"/>
        <w:numPr>
          <w:ilvl w:val="0"/>
          <w:numId w:val="2"/>
        </w:numPr>
        <w:jc w:val="both"/>
      </w:pPr>
      <w:r>
        <w:t>312 -</w:t>
      </w:r>
      <w:r w:rsidR="00946046">
        <w:t xml:space="preserve"> ostali rashodi za zaposlene – jubilarne</w:t>
      </w:r>
      <w:r w:rsidR="009D1A28">
        <w:t xml:space="preserve"> nagrade</w:t>
      </w:r>
      <w:r w:rsidR="00946046">
        <w:t>, regres, božićnica, dar djeci, naknada za prehranu</w:t>
      </w:r>
      <w:r w:rsidR="009D1A28">
        <w:t>, naknada u slučaju smrti i sl. sukladno Pravilniku o radu Učilišta</w:t>
      </w:r>
      <w:r w:rsidR="00946046">
        <w:t xml:space="preserve"> </w:t>
      </w:r>
      <w:r>
        <w:t>(</w:t>
      </w:r>
      <w:r w:rsidR="00EE0B28">
        <w:t>77.072,99 EUR</w:t>
      </w:r>
    </w:p>
    <w:p w14:paraId="305705AA" w14:textId="3CE004B3" w:rsidR="00946046" w:rsidRDefault="004F2325" w:rsidP="00946046">
      <w:pPr>
        <w:pStyle w:val="ListParagraph"/>
        <w:numPr>
          <w:ilvl w:val="0"/>
          <w:numId w:val="2"/>
        </w:numPr>
        <w:jc w:val="both"/>
      </w:pPr>
      <w:r>
        <w:t>313 - doprinosi na plaću (</w:t>
      </w:r>
      <w:r w:rsidR="00EE0B28">
        <w:t>74.824,91 EUR</w:t>
      </w:r>
      <w:r>
        <w:t>)</w:t>
      </w:r>
      <w:r w:rsidR="009D1A28">
        <w:t>.</w:t>
      </w:r>
    </w:p>
    <w:p w14:paraId="29A6104E" w14:textId="6A338151" w:rsidR="00170374" w:rsidRDefault="00170374" w:rsidP="00946046">
      <w:pPr>
        <w:jc w:val="both"/>
      </w:pPr>
      <w:r>
        <w:t>Rashodi za zaposlene financiraju se isključivo iz prihoda iz nadležnog proračuna Grada Samobora</w:t>
      </w:r>
      <w:r w:rsidR="000C2C32">
        <w:t>, te neznatni dio je financiran iz projekta Erasmus.</w:t>
      </w:r>
    </w:p>
    <w:p w14:paraId="53B66122" w14:textId="15FB16ED" w:rsidR="00946046" w:rsidRDefault="00946046" w:rsidP="00946046">
      <w:pPr>
        <w:jc w:val="both"/>
      </w:pPr>
      <w:r>
        <w:tab/>
      </w:r>
      <w:r w:rsidRPr="00D404EC">
        <w:rPr>
          <w:b/>
          <w:bCs/>
        </w:rPr>
        <w:t>32 –</w:t>
      </w:r>
      <w:r w:rsidR="00992A1D">
        <w:rPr>
          <w:b/>
          <w:bCs/>
        </w:rPr>
        <w:t xml:space="preserve"> Materijalni rashodi - </w:t>
      </w:r>
      <w:r w:rsidRPr="00D404EC">
        <w:rPr>
          <w:b/>
          <w:bCs/>
        </w:rPr>
        <w:t xml:space="preserve"> </w:t>
      </w:r>
      <w:r w:rsidR="00992A1D">
        <w:t xml:space="preserve">izvršeni su u iznosu od </w:t>
      </w:r>
      <w:r w:rsidR="000C2C32">
        <w:rPr>
          <w:b/>
          <w:bCs/>
        </w:rPr>
        <w:t xml:space="preserve">991.517,98 </w:t>
      </w:r>
      <w:r w:rsidR="005D65D6">
        <w:rPr>
          <w:b/>
          <w:bCs/>
        </w:rPr>
        <w:t>EUR</w:t>
      </w:r>
      <w:r w:rsidR="00992A1D" w:rsidRPr="00C31D33">
        <w:t>,</w:t>
      </w:r>
      <w:r w:rsidR="00992A1D">
        <w:t xml:space="preserve"> što predstavlja izvršenje u odnosu na plan od </w:t>
      </w:r>
      <w:r w:rsidR="000C2C32">
        <w:t>88</w:t>
      </w:r>
      <w:r w:rsidR="00992A1D">
        <w:t xml:space="preserve">%, te su veći za </w:t>
      </w:r>
      <w:r w:rsidR="000C2C32">
        <w:t>30</w:t>
      </w:r>
      <w:r w:rsidR="00992A1D">
        <w:t>% u odnosu na isto razdoblje 202</w:t>
      </w:r>
      <w:r w:rsidR="000C2C32">
        <w:t>4</w:t>
      </w:r>
      <w:r w:rsidR="00992A1D">
        <w:t xml:space="preserve">, a udio u ukupnim rashodima poslovanja  iznosi </w:t>
      </w:r>
      <w:r w:rsidR="00DB127A">
        <w:t>60</w:t>
      </w:r>
      <w:r w:rsidR="00992A1D">
        <w:t>%.</w:t>
      </w:r>
    </w:p>
    <w:p w14:paraId="24FDDCAD" w14:textId="0A61EC73" w:rsidR="00992A1D" w:rsidRPr="007D12F7" w:rsidRDefault="00992A1D" w:rsidP="00992A1D">
      <w:pPr>
        <w:ind w:firstLine="720"/>
        <w:jc w:val="both"/>
        <w:rPr>
          <w:bCs/>
        </w:rPr>
      </w:pPr>
      <w:r w:rsidRPr="007D12F7">
        <w:rPr>
          <w:bCs/>
        </w:rPr>
        <w:t xml:space="preserve">Najveći udio u ovim rashodima odnosi se na rashode za usluge koji iznose </w:t>
      </w:r>
      <w:r w:rsidR="007650D5">
        <w:rPr>
          <w:bCs/>
        </w:rPr>
        <w:t>813.961,85 EUR</w:t>
      </w:r>
      <w:r>
        <w:rPr>
          <w:bCs/>
        </w:rPr>
        <w:t xml:space="preserve">, </w:t>
      </w:r>
      <w:r w:rsidRPr="007D12F7">
        <w:rPr>
          <w:bCs/>
        </w:rPr>
        <w:t xml:space="preserve"> zatim na rashode za materijal i energiju u iznosu od </w:t>
      </w:r>
      <w:r w:rsidR="00C4066F">
        <w:rPr>
          <w:bCs/>
        </w:rPr>
        <w:t>78.202.70 EUR</w:t>
      </w:r>
      <w:r w:rsidRPr="007D12F7">
        <w:rPr>
          <w:bCs/>
        </w:rPr>
        <w:t>,</w:t>
      </w:r>
      <w:r w:rsidR="00C4066F">
        <w:rPr>
          <w:bCs/>
        </w:rPr>
        <w:t xml:space="preserve"> </w:t>
      </w:r>
      <w:r w:rsidR="0043748C">
        <w:rPr>
          <w:bCs/>
        </w:rPr>
        <w:t xml:space="preserve">rashode za zaposlene u iznosu od </w:t>
      </w:r>
      <w:r w:rsidR="00B62DB6">
        <w:rPr>
          <w:bCs/>
        </w:rPr>
        <w:t>45.1</w:t>
      </w:r>
      <w:r w:rsidR="00FC70F6">
        <w:rPr>
          <w:bCs/>
        </w:rPr>
        <w:t>3</w:t>
      </w:r>
      <w:r w:rsidR="00B62DB6">
        <w:rPr>
          <w:bCs/>
        </w:rPr>
        <w:t xml:space="preserve">2,91 EUR, </w:t>
      </w:r>
      <w:r w:rsidRPr="007D12F7">
        <w:rPr>
          <w:bCs/>
        </w:rPr>
        <w:t xml:space="preserve"> te ostali nespomenuti rashodi poslovanja u iznosu od </w:t>
      </w:r>
      <w:r w:rsidR="00B62DB6">
        <w:rPr>
          <w:bCs/>
        </w:rPr>
        <w:t xml:space="preserve">54.200,52 </w:t>
      </w:r>
      <w:r w:rsidR="005D65D6">
        <w:rPr>
          <w:bCs/>
        </w:rPr>
        <w:t>EUR</w:t>
      </w:r>
      <w:r w:rsidR="00B62DB6">
        <w:rPr>
          <w:bCs/>
        </w:rPr>
        <w:t>.</w:t>
      </w:r>
    </w:p>
    <w:p w14:paraId="218FCED1" w14:textId="77777777" w:rsidR="00992A1D" w:rsidRPr="00D404EC" w:rsidRDefault="00992A1D" w:rsidP="00946046">
      <w:pPr>
        <w:jc w:val="both"/>
        <w:rPr>
          <w:b/>
          <w:bCs/>
        </w:rPr>
      </w:pPr>
    </w:p>
    <w:p w14:paraId="3D755CED" w14:textId="2F79BBFB" w:rsidR="004D678E" w:rsidRDefault="00913D0D" w:rsidP="00913D0D">
      <w:pPr>
        <w:jc w:val="both"/>
      </w:pPr>
      <w:r>
        <w:t xml:space="preserve">Materijalni rashodi </w:t>
      </w:r>
      <w:r w:rsidR="00992A1D">
        <w:t>izvršeni su kako slijedi:</w:t>
      </w:r>
    </w:p>
    <w:p w14:paraId="29BBAB86" w14:textId="341D432E" w:rsidR="00EE743B" w:rsidRDefault="00913D0D" w:rsidP="00913D0D">
      <w:pPr>
        <w:jc w:val="both"/>
      </w:pPr>
      <w:r>
        <w:tab/>
      </w:r>
      <w:r w:rsidRPr="00913D0D">
        <w:rPr>
          <w:b/>
          <w:bCs/>
        </w:rPr>
        <w:t>321</w:t>
      </w:r>
      <w:r w:rsidR="004F2325">
        <w:rPr>
          <w:b/>
          <w:bCs/>
        </w:rPr>
        <w:t xml:space="preserve"> </w:t>
      </w:r>
      <w:r w:rsidR="004F2325">
        <w:t>–</w:t>
      </w:r>
      <w:r>
        <w:t xml:space="preserve"> </w:t>
      </w:r>
      <w:r w:rsidRPr="00D404EC">
        <w:rPr>
          <w:b/>
          <w:bCs/>
        </w:rPr>
        <w:t>Naknade</w:t>
      </w:r>
      <w:r w:rsidR="004F2325">
        <w:rPr>
          <w:b/>
          <w:bCs/>
        </w:rPr>
        <w:t xml:space="preserve"> </w:t>
      </w:r>
      <w:r w:rsidRPr="00D404EC">
        <w:rPr>
          <w:b/>
          <w:bCs/>
        </w:rPr>
        <w:t>troškova zaposlenima</w:t>
      </w:r>
      <w:r>
        <w:t xml:space="preserve"> </w:t>
      </w:r>
      <w:r w:rsidR="00B62DB6">
        <w:rPr>
          <w:b/>
          <w:bCs/>
        </w:rPr>
        <w:t>45.1</w:t>
      </w:r>
      <w:r w:rsidR="00FC70F6">
        <w:rPr>
          <w:b/>
          <w:bCs/>
        </w:rPr>
        <w:t>3</w:t>
      </w:r>
      <w:r w:rsidR="00B62DB6">
        <w:rPr>
          <w:b/>
          <w:bCs/>
        </w:rPr>
        <w:t xml:space="preserve">2,91 EUR </w:t>
      </w:r>
      <w:r w:rsidR="004912BA">
        <w:rPr>
          <w:b/>
          <w:bCs/>
        </w:rPr>
        <w:t xml:space="preserve">, </w:t>
      </w:r>
      <w:r w:rsidR="004F2325">
        <w:t>–</w:t>
      </w:r>
      <w:r w:rsidR="00D404EC">
        <w:t xml:space="preserve"> </w:t>
      </w:r>
      <w:r>
        <w:t>koje</w:t>
      </w:r>
      <w:r w:rsidR="004F2325">
        <w:t xml:space="preserve"> </w:t>
      </w:r>
      <w:r>
        <w:t>se odnose na</w:t>
      </w:r>
      <w:r w:rsidR="00C71415">
        <w:t>:</w:t>
      </w:r>
      <w:r>
        <w:t xml:space="preserve"> </w:t>
      </w:r>
    </w:p>
    <w:p w14:paraId="0C0DAABD" w14:textId="4E6C22C7" w:rsidR="00EE743B" w:rsidRDefault="00EE743B" w:rsidP="00913D0D">
      <w:pPr>
        <w:jc w:val="both"/>
      </w:pPr>
      <w:r>
        <w:t xml:space="preserve">3212 - </w:t>
      </w:r>
      <w:r w:rsidR="00913D0D">
        <w:t>naknade troškova prijevoza na posao i s posla</w:t>
      </w:r>
      <w:r w:rsidR="00D234DB">
        <w:t xml:space="preserve">  </w:t>
      </w:r>
      <w:r w:rsidR="00170374">
        <w:t>(</w:t>
      </w:r>
      <w:r w:rsidR="00FA379D">
        <w:t>24,779,62 EUR</w:t>
      </w:r>
      <w:r w:rsidR="00C71415">
        <w:t>)</w:t>
      </w:r>
    </w:p>
    <w:p w14:paraId="6AE927C8" w14:textId="15F39FC7" w:rsidR="00EE743B" w:rsidRDefault="00EE743B" w:rsidP="00913D0D">
      <w:pPr>
        <w:jc w:val="both"/>
      </w:pPr>
      <w:r>
        <w:t>3211</w:t>
      </w:r>
      <w:r w:rsidR="00913D0D">
        <w:t xml:space="preserve"> </w:t>
      </w:r>
      <w:r w:rsidR="009D1A28">
        <w:t xml:space="preserve">- </w:t>
      </w:r>
      <w:r w:rsidR="00C71415">
        <w:t>troškove službenih putovanja (</w:t>
      </w:r>
      <w:r w:rsidR="00192AFA">
        <w:t>15.069,76 EUR</w:t>
      </w:r>
      <w:r w:rsidR="00C71415">
        <w:t xml:space="preserve">) </w:t>
      </w:r>
    </w:p>
    <w:p w14:paraId="0DD22356" w14:textId="29AE89A3" w:rsidR="00913D0D" w:rsidRDefault="00EE743B" w:rsidP="00913D0D">
      <w:pPr>
        <w:jc w:val="both"/>
      </w:pPr>
      <w:r>
        <w:t xml:space="preserve">3213 - </w:t>
      </w:r>
      <w:r w:rsidR="00913D0D">
        <w:t xml:space="preserve">stručno usavršavanje zaposlenika </w:t>
      </w:r>
      <w:r w:rsidR="00170374">
        <w:t>(</w:t>
      </w:r>
      <w:r w:rsidR="0025530B">
        <w:t>5.</w:t>
      </w:r>
      <w:r w:rsidR="00192AFA">
        <w:t>153,49 EUR</w:t>
      </w:r>
      <w:r w:rsidR="00170374">
        <w:t>)</w:t>
      </w:r>
    </w:p>
    <w:p w14:paraId="2A23EC0B" w14:textId="624A6982" w:rsidR="00C71415" w:rsidRDefault="00C71415" w:rsidP="00913D0D">
      <w:pPr>
        <w:jc w:val="both"/>
      </w:pPr>
      <w:r>
        <w:t xml:space="preserve">3214 </w:t>
      </w:r>
      <w:r w:rsidR="004F2325">
        <w:t>-</w:t>
      </w:r>
      <w:r>
        <w:t xml:space="preserve"> ostale </w:t>
      </w:r>
      <w:r w:rsidR="004F2325">
        <w:t>naknade (</w:t>
      </w:r>
      <w:r w:rsidR="00685A33">
        <w:t>130,04 EUR</w:t>
      </w:r>
      <w:r>
        <w:t>)</w:t>
      </w:r>
    </w:p>
    <w:p w14:paraId="51696563" w14:textId="0B84F1D8" w:rsidR="00EE743B" w:rsidRDefault="00517049" w:rsidP="00913D0D">
      <w:pPr>
        <w:jc w:val="both"/>
      </w:pPr>
      <w:r>
        <w:t xml:space="preserve">Naknade troškova zaposlenima izvršeni su  </w:t>
      </w:r>
      <w:r w:rsidR="00CF071A">
        <w:t>63</w:t>
      </w:r>
      <w:r>
        <w:t>% u odnosu na plan za 202</w:t>
      </w:r>
      <w:r w:rsidR="00CF071A">
        <w:t>5</w:t>
      </w:r>
      <w:r>
        <w:t xml:space="preserve">, dok su se u odnosu na isto razdoblje prošle godine </w:t>
      </w:r>
      <w:r w:rsidR="00CF071A">
        <w:t xml:space="preserve">povećali </w:t>
      </w:r>
      <w:r>
        <w:t xml:space="preserve"> za</w:t>
      </w:r>
      <w:r w:rsidR="00C31D33">
        <w:t xml:space="preserve"> </w:t>
      </w:r>
      <w:r w:rsidR="009C243D">
        <w:t>49</w:t>
      </w:r>
      <w:r>
        <w:t xml:space="preserve">%, dok  im udio u ukupnim materijalnim rashodima  iznosi </w:t>
      </w:r>
      <w:r w:rsidR="005D65D6">
        <w:t>3</w:t>
      </w:r>
      <w:r>
        <w:t>%</w:t>
      </w:r>
    </w:p>
    <w:p w14:paraId="4B73DC03" w14:textId="658C5469" w:rsidR="00EE743B" w:rsidRDefault="00913D0D" w:rsidP="00913D0D">
      <w:pPr>
        <w:jc w:val="both"/>
      </w:pPr>
      <w:r>
        <w:tab/>
      </w:r>
      <w:r w:rsidRPr="00D404EC">
        <w:rPr>
          <w:b/>
          <w:bCs/>
        </w:rPr>
        <w:t>322 – Rashodi za materijal i energiju</w:t>
      </w:r>
      <w:r w:rsidR="00170374">
        <w:t xml:space="preserve"> </w:t>
      </w:r>
      <w:r w:rsidR="006A65D6">
        <w:rPr>
          <w:b/>
          <w:bCs/>
        </w:rPr>
        <w:t>78.202,70 EUR</w:t>
      </w:r>
      <w:r>
        <w:t>, a  odnose</w:t>
      </w:r>
      <w:r w:rsidR="0084738E">
        <w:t xml:space="preserve"> se </w:t>
      </w:r>
      <w:r>
        <w:t xml:space="preserve"> na rashode</w:t>
      </w:r>
      <w:r w:rsidR="004F2325">
        <w:t>:</w:t>
      </w:r>
      <w:r>
        <w:t xml:space="preserve"> </w:t>
      </w:r>
    </w:p>
    <w:p w14:paraId="74F2301B" w14:textId="1DBB8BD8" w:rsidR="00EE743B" w:rsidRDefault="00EE743B" w:rsidP="00913D0D">
      <w:pPr>
        <w:jc w:val="both"/>
      </w:pPr>
      <w:r>
        <w:t>3223</w:t>
      </w:r>
      <w:r w:rsidR="004F2325">
        <w:t xml:space="preserve"> </w:t>
      </w:r>
      <w:r>
        <w:t xml:space="preserve">- </w:t>
      </w:r>
      <w:r w:rsidR="00913D0D">
        <w:t>energiju</w:t>
      </w:r>
      <w:r w:rsidR="00170374">
        <w:t xml:space="preserve"> (plin i električna energija –</w:t>
      </w:r>
      <w:r w:rsidR="006A65D6">
        <w:t xml:space="preserve"> 40.224,32 EUR</w:t>
      </w:r>
      <w:r w:rsidR="00170374">
        <w:t xml:space="preserve">), </w:t>
      </w:r>
    </w:p>
    <w:p w14:paraId="7978A18B" w14:textId="18D61FE0" w:rsidR="00EE743B" w:rsidRDefault="00EE743B" w:rsidP="00913D0D">
      <w:pPr>
        <w:jc w:val="both"/>
      </w:pPr>
      <w:r>
        <w:lastRenderedPageBreak/>
        <w:t xml:space="preserve">3221 </w:t>
      </w:r>
      <w:r w:rsidR="004F2325">
        <w:t xml:space="preserve">- </w:t>
      </w:r>
      <w:r w:rsidR="00170374">
        <w:t>uredski materijal  (</w:t>
      </w:r>
      <w:r w:rsidR="00923F16">
        <w:t>19.</w:t>
      </w:r>
      <w:r w:rsidR="0093650E">
        <w:t>369,11 EUR</w:t>
      </w:r>
      <w:r w:rsidR="00170374">
        <w:t xml:space="preserve">), </w:t>
      </w:r>
    </w:p>
    <w:p w14:paraId="2EF2A5BF" w14:textId="7572B5C9" w:rsidR="00EE743B" w:rsidRDefault="00EE743B" w:rsidP="00913D0D">
      <w:pPr>
        <w:jc w:val="both"/>
      </w:pPr>
      <w:r>
        <w:t xml:space="preserve">3224 - </w:t>
      </w:r>
      <w:r w:rsidR="00170374">
        <w:t>materija i dijelovi za tekuće i investicijsko održavanje  (</w:t>
      </w:r>
      <w:r w:rsidR="0093650E">
        <w:t>14.994,0</w:t>
      </w:r>
      <w:r w:rsidR="004B23AE">
        <w:t>4</w:t>
      </w:r>
      <w:r w:rsidR="0093650E">
        <w:t xml:space="preserve"> EUR</w:t>
      </w:r>
      <w:r w:rsidR="00170374">
        <w:t xml:space="preserve">), </w:t>
      </w:r>
    </w:p>
    <w:p w14:paraId="502C617E" w14:textId="001D657D" w:rsidR="00913D0D" w:rsidRDefault="00EE743B" w:rsidP="00913D0D">
      <w:pPr>
        <w:jc w:val="both"/>
      </w:pPr>
      <w:r>
        <w:t xml:space="preserve">3225 - </w:t>
      </w:r>
      <w:r w:rsidR="00170374">
        <w:t xml:space="preserve"> </w:t>
      </w:r>
      <w:r w:rsidR="00D404EC">
        <w:t xml:space="preserve">sitan inventar  </w:t>
      </w:r>
      <w:r w:rsidR="004B23AE">
        <w:t>(3.435,36 EUR</w:t>
      </w:r>
      <w:r w:rsidR="00D404EC">
        <w:t>)</w:t>
      </w:r>
    </w:p>
    <w:p w14:paraId="3E6CF3D9" w14:textId="4239754B" w:rsidR="00923F16" w:rsidRDefault="00923F16" w:rsidP="00913D0D">
      <w:pPr>
        <w:jc w:val="both"/>
      </w:pPr>
      <w:r>
        <w:t>3227 – Zaštitna odjeća i obuća (</w:t>
      </w:r>
      <w:r w:rsidR="00506223">
        <w:t>229,87 EUR</w:t>
      </w:r>
      <w:r>
        <w:t>)</w:t>
      </w:r>
    </w:p>
    <w:p w14:paraId="5FA521E6" w14:textId="344D2F19" w:rsidR="00D404EC" w:rsidRDefault="0084738E" w:rsidP="00913D0D">
      <w:pPr>
        <w:jc w:val="both"/>
      </w:pPr>
      <w:r>
        <w:t xml:space="preserve">Rashodi za materijal i energiju izvršeni su </w:t>
      </w:r>
      <w:r w:rsidR="00652133">
        <w:t>85</w:t>
      </w:r>
      <w:r>
        <w:t>% u odnosu na plan 202</w:t>
      </w:r>
      <w:r w:rsidR="00652133">
        <w:t>5</w:t>
      </w:r>
      <w:r>
        <w:t xml:space="preserve">. dok se povećali za </w:t>
      </w:r>
      <w:r w:rsidR="008E7723">
        <w:t>7</w:t>
      </w:r>
      <w:r>
        <w:t>% u donosu na isto razdoblje 202</w:t>
      </w:r>
      <w:r w:rsidR="008E7723">
        <w:t>4</w:t>
      </w:r>
      <w:r>
        <w:t xml:space="preserve">, a udio u ukupnim materijalnim rashodima iznosi </w:t>
      </w:r>
      <w:r w:rsidR="003D427B">
        <w:t>5</w:t>
      </w:r>
      <w:r>
        <w:t>%</w:t>
      </w:r>
    </w:p>
    <w:p w14:paraId="5D30A1FD" w14:textId="1D26019B" w:rsidR="00EE743B" w:rsidRDefault="00D404EC" w:rsidP="00913D0D">
      <w:pPr>
        <w:jc w:val="both"/>
      </w:pPr>
      <w:r>
        <w:tab/>
      </w:r>
      <w:r w:rsidRPr="00D404EC">
        <w:rPr>
          <w:b/>
          <w:bCs/>
        </w:rPr>
        <w:t xml:space="preserve">323 </w:t>
      </w:r>
      <w:r w:rsidR="004F2325">
        <w:rPr>
          <w:b/>
          <w:bCs/>
        </w:rPr>
        <w:t>–</w:t>
      </w:r>
      <w:r w:rsidRPr="00D404EC">
        <w:rPr>
          <w:b/>
          <w:bCs/>
        </w:rPr>
        <w:t xml:space="preserve"> </w:t>
      </w:r>
      <w:r w:rsidR="004F2325">
        <w:rPr>
          <w:b/>
          <w:bCs/>
        </w:rPr>
        <w:t>R</w:t>
      </w:r>
      <w:r w:rsidRPr="00D404EC">
        <w:rPr>
          <w:b/>
          <w:bCs/>
        </w:rPr>
        <w:t>ashodi</w:t>
      </w:r>
      <w:r w:rsidR="004F2325">
        <w:rPr>
          <w:b/>
          <w:bCs/>
        </w:rPr>
        <w:t xml:space="preserve"> </w:t>
      </w:r>
      <w:r w:rsidRPr="00D404EC">
        <w:rPr>
          <w:b/>
          <w:bCs/>
        </w:rPr>
        <w:t>za usluge</w:t>
      </w:r>
      <w:r w:rsidR="004F2325">
        <w:rPr>
          <w:b/>
          <w:bCs/>
        </w:rPr>
        <w:t xml:space="preserve"> </w:t>
      </w:r>
      <w:r w:rsidR="003D427B">
        <w:rPr>
          <w:b/>
          <w:bCs/>
        </w:rPr>
        <w:t>813.961,85 EUR</w:t>
      </w:r>
      <w:r>
        <w:rPr>
          <w:b/>
          <w:bCs/>
        </w:rPr>
        <w:t xml:space="preserve">, </w:t>
      </w:r>
      <w:r>
        <w:t xml:space="preserve">i čine najveći udio u </w:t>
      </w:r>
      <w:r w:rsidR="0084738E">
        <w:t xml:space="preserve">ukupnim materijalnim rashodima  u iznosu </w:t>
      </w:r>
      <w:r>
        <w:t xml:space="preserve">od </w:t>
      </w:r>
      <w:r w:rsidR="003700D4">
        <w:t>49</w:t>
      </w:r>
      <w:r w:rsidR="0011286E">
        <w:t xml:space="preserve"> </w:t>
      </w:r>
      <w:r>
        <w:t xml:space="preserve">% ukupno </w:t>
      </w:r>
      <w:r w:rsidR="0084738E">
        <w:t xml:space="preserve">izvršenih </w:t>
      </w:r>
      <w:r>
        <w:t xml:space="preserve"> materijalnih rashoda. Obuhvaćaju:</w:t>
      </w:r>
    </w:p>
    <w:p w14:paraId="680823EB" w14:textId="79B7A341" w:rsidR="00EE743B" w:rsidRDefault="00EE743B" w:rsidP="00913D0D">
      <w:pPr>
        <w:jc w:val="both"/>
      </w:pPr>
      <w:r>
        <w:t xml:space="preserve">3231 - </w:t>
      </w:r>
      <w:r w:rsidR="00D404EC">
        <w:t>usluge telefona, pošte i prijevoza (</w:t>
      </w:r>
      <w:r w:rsidR="00406700">
        <w:t>10.656,67 EUR</w:t>
      </w:r>
      <w:r w:rsidR="00D404EC">
        <w:t xml:space="preserve">), </w:t>
      </w:r>
    </w:p>
    <w:p w14:paraId="775EEB47" w14:textId="1F4B74E0" w:rsidR="00EE743B" w:rsidRDefault="00EE743B" w:rsidP="00913D0D">
      <w:pPr>
        <w:jc w:val="both"/>
      </w:pPr>
      <w:r>
        <w:t xml:space="preserve">3232 - </w:t>
      </w:r>
      <w:r w:rsidR="00D404EC">
        <w:t>usluge tekućeg i investicijskog održavanja</w:t>
      </w:r>
      <w:r w:rsidR="004315EB">
        <w:t xml:space="preserve"> </w:t>
      </w:r>
      <w:r w:rsidR="00D404EC">
        <w:t>(</w:t>
      </w:r>
      <w:r w:rsidR="00580BB3">
        <w:t>60.294,38 EUR</w:t>
      </w:r>
      <w:r w:rsidR="004315EB">
        <w:t xml:space="preserve">), </w:t>
      </w:r>
    </w:p>
    <w:p w14:paraId="2D8A7305" w14:textId="1217F741" w:rsidR="00EE743B" w:rsidRDefault="00EE743B" w:rsidP="00913D0D">
      <w:pPr>
        <w:jc w:val="both"/>
      </w:pPr>
      <w:r>
        <w:t xml:space="preserve">3233 - </w:t>
      </w:r>
      <w:r w:rsidR="004315EB">
        <w:t>usluge promidžbe informiranja (</w:t>
      </w:r>
      <w:r w:rsidR="00580BB3">
        <w:t>56.230,61 EUR</w:t>
      </w:r>
      <w:r w:rsidR="004315EB">
        <w:t xml:space="preserve">), </w:t>
      </w:r>
    </w:p>
    <w:p w14:paraId="41B2A44D" w14:textId="1D9DEC05" w:rsidR="00EE743B" w:rsidRDefault="00EE743B" w:rsidP="00913D0D">
      <w:pPr>
        <w:jc w:val="both"/>
      </w:pPr>
      <w:r>
        <w:t xml:space="preserve">3234 - </w:t>
      </w:r>
      <w:r w:rsidR="004315EB">
        <w:t>komunalne usluge (</w:t>
      </w:r>
      <w:r w:rsidR="00195A5E">
        <w:t>4.589,86 EUR</w:t>
      </w:r>
      <w:r w:rsidR="004315EB">
        <w:t>),</w:t>
      </w:r>
    </w:p>
    <w:p w14:paraId="0C18EDAE" w14:textId="50DD0B0B" w:rsidR="00EE743B" w:rsidRDefault="00EE743B" w:rsidP="00913D0D">
      <w:pPr>
        <w:jc w:val="both"/>
      </w:pPr>
      <w:r>
        <w:t xml:space="preserve">3235 - </w:t>
      </w:r>
      <w:r w:rsidR="004F2325">
        <w:t>zakupnine i najamnine (</w:t>
      </w:r>
      <w:r w:rsidR="00195A5E">
        <w:t>134.503,82 EUR</w:t>
      </w:r>
      <w:r w:rsidR="004315EB">
        <w:t xml:space="preserve">), </w:t>
      </w:r>
    </w:p>
    <w:p w14:paraId="360C1D02" w14:textId="5EDFF380" w:rsidR="00EE743B" w:rsidRDefault="00EE743B" w:rsidP="00913D0D">
      <w:pPr>
        <w:jc w:val="both"/>
      </w:pPr>
      <w:r>
        <w:t xml:space="preserve">3236 - </w:t>
      </w:r>
      <w:r w:rsidR="004F2325">
        <w:t>zdravstvene usluge</w:t>
      </w:r>
      <w:r w:rsidR="004315EB">
        <w:t xml:space="preserve"> (</w:t>
      </w:r>
      <w:r w:rsidR="00875418">
        <w:t>9.005,00 EUR</w:t>
      </w:r>
      <w:r w:rsidR="004315EB">
        <w:t xml:space="preserve">), </w:t>
      </w:r>
    </w:p>
    <w:p w14:paraId="0FD5EE47" w14:textId="05937C95" w:rsidR="00EE743B" w:rsidRDefault="00EE743B" w:rsidP="00913D0D">
      <w:pPr>
        <w:jc w:val="both"/>
      </w:pPr>
      <w:r>
        <w:t xml:space="preserve">3237 - </w:t>
      </w:r>
      <w:r w:rsidR="004315EB">
        <w:t>intelektualne i osobne usluge (</w:t>
      </w:r>
      <w:r w:rsidR="00875418">
        <w:t>503.402,11 EUR</w:t>
      </w:r>
      <w:r w:rsidR="004315EB">
        <w:t>)</w:t>
      </w:r>
      <w:r w:rsidR="004F2325">
        <w:t xml:space="preserve"> – odnose se na različite ugovore o djelu ili autorske ugovore vezane u najvećoj mjeri uz vanjske predavače za izvođenje različitih programa cjeloživotnog obrazovanja i izvođače kulturnih programa. </w:t>
      </w:r>
      <w:r w:rsidR="004315EB">
        <w:t xml:space="preserve"> </w:t>
      </w:r>
    </w:p>
    <w:p w14:paraId="65FCE7D0" w14:textId="0BE19B16" w:rsidR="00EE743B" w:rsidRDefault="00EE743B" w:rsidP="00913D0D">
      <w:pPr>
        <w:jc w:val="both"/>
      </w:pPr>
      <w:r>
        <w:t xml:space="preserve">3238 - </w:t>
      </w:r>
      <w:r w:rsidR="004F2325">
        <w:t>računalne usluge</w:t>
      </w:r>
      <w:r w:rsidR="004315EB">
        <w:t xml:space="preserve"> (</w:t>
      </w:r>
      <w:r w:rsidR="00E606EF">
        <w:t xml:space="preserve">7.492,58 EUR </w:t>
      </w:r>
      <w:r>
        <w:t>)</w:t>
      </w:r>
    </w:p>
    <w:p w14:paraId="7DA44EE8" w14:textId="31F8A8D7" w:rsidR="00D404EC" w:rsidRDefault="00EE743B" w:rsidP="00913D0D">
      <w:pPr>
        <w:jc w:val="both"/>
      </w:pPr>
      <w:r>
        <w:t xml:space="preserve">3239 - </w:t>
      </w:r>
      <w:r w:rsidR="004F2325">
        <w:t xml:space="preserve">ostale usluge </w:t>
      </w:r>
      <w:r w:rsidR="004315EB">
        <w:t>(</w:t>
      </w:r>
      <w:r w:rsidR="00E606EF">
        <w:t>27.786,82 EUR</w:t>
      </w:r>
      <w:r w:rsidR="004315EB">
        <w:t>)</w:t>
      </w:r>
      <w:r w:rsidR="00A03B66">
        <w:t xml:space="preserve"> </w:t>
      </w:r>
    </w:p>
    <w:p w14:paraId="2ADFC5BB" w14:textId="63668EAD" w:rsidR="00CD6FA1" w:rsidRDefault="00CD6FA1" w:rsidP="00913D0D">
      <w:pPr>
        <w:jc w:val="both"/>
      </w:pPr>
      <w:r>
        <w:t xml:space="preserve">Rashodi za usluge izvršeni su </w:t>
      </w:r>
      <w:r w:rsidR="00E606EF">
        <w:t>90</w:t>
      </w:r>
      <w:r>
        <w:t>% u odnosu na plan za 202</w:t>
      </w:r>
      <w:r w:rsidR="00E606EF">
        <w:t>5</w:t>
      </w:r>
      <w:r>
        <w:t>., doku se u odnosu na isto razdoblje 202</w:t>
      </w:r>
      <w:r w:rsidR="00E606EF">
        <w:t>4</w:t>
      </w:r>
      <w:r>
        <w:t xml:space="preserve">, veći za </w:t>
      </w:r>
      <w:r w:rsidR="00254A10">
        <w:t>3</w:t>
      </w:r>
      <w:r w:rsidR="00277567">
        <w:t>2</w:t>
      </w:r>
      <w:r>
        <w:t>%.</w:t>
      </w:r>
    </w:p>
    <w:p w14:paraId="4EA98316" w14:textId="4F1A8F72" w:rsidR="00DA7281" w:rsidRDefault="00CD6FA1" w:rsidP="00913D0D">
      <w:pPr>
        <w:jc w:val="both"/>
      </w:pPr>
      <w:r>
        <w:tab/>
      </w:r>
    </w:p>
    <w:p w14:paraId="2C07E023" w14:textId="33F3BDF4" w:rsidR="00EE743B" w:rsidRDefault="004315EB" w:rsidP="00913D0D">
      <w:pPr>
        <w:jc w:val="both"/>
      </w:pPr>
      <w:r>
        <w:tab/>
      </w:r>
      <w:r w:rsidRPr="004315EB">
        <w:rPr>
          <w:b/>
          <w:bCs/>
        </w:rPr>
        <w:t>329 – Ostali nespo</w:t>
      </w:r>
      <w:r w:rsidR="00A03B66">
        <w:rPr>
          <w:b/>
          <w:bCs/>
        </w:rPr>
        <w:t>menuti rashodi poslovan</w:t>
      </w:r>
      <w:r w:rsidR="00277567">
        <w:rPr>
          <w:b/>
          <w:bCs/>
        </w:rPr>
        <w:t xml:space="preserve">ja </w:t>
      </w:r>
      <w:r w:rsidR="00A949D3">
        <w:rPr>
          <w:b/>
          <w:bCs/>
        </w:rPr>
        <w:t>54.220,52 EUR</w:t>
      </w:r>
      <w:r>
        <w:rPr>
          <w:b/>
          <w:bCs/>
        </w:rPr>
        <w:t xml:space="preserve"> </w:t>
      </w:r>
      <w:r>
        <w:t xml:space="preserve">, a odnose se na: </w:t>
      </w:r>
    </w:p>
    <w:p w14:paraId="271AC348" w14:textId="1603BE19" w:rsidR="00EE743B" w:rsidRDefault="00EE743B" w:rsidP="00913D0D">
      <w:pPr>
        <w:jc w:val="both"/>
      </w:pPr>
      <w:r>
        <w:t xml:space="preserve">3291 - </w:t>
      </w:r>
      <w:r w:rsidR="004315EB">
        <w:t xml:space="preserve">naknade za članove upravnog vijeća  ( </w:t>
      </w:r>
      <w:r w:rsidR="00A949D3">
        <w:t>1.149,06 EUR</w:t>
      </w:r>
      <w:r w:rsidR="004315EB">
        <w:t>),</w:t>
      </w:r>
    </w:p>
    <w:p w14:paraId="5B50F2DF" w14:textId="4DDF1CAD" w:rsidR="00EE743B" w:rsidRDefault="00EE743B" w:rsidP="00913D0D">
      <w:pPr>
        <w:jc w:val="both"/>
      </w:pPr>
      <w:r>
        <w:t xml:space="preserve">3292 - </w:t>
      </w:r>
      <w:r w:rsidR="004315EB">
        <w:t>premije osiguranja  (</w:t>
      </w:r>
      <w:r w:rsidR="009B54C3">
        <w:t>8.642,86 EUR</w:t>
      </w:r>
      <w:r w:rsidR="00C40EDF">
        <w:t xml:space="preserve">), </w:t>
      </w:r>
    </w:p>
    <w:p w14:paraId="71DB64C0" w14:textId="4D3A04B5" w:rsidR="00EE743B" w:rsidRDefault="00EE743B" w:rsidP="00913D0D">
      <w:pPr>
        <w:jc w:val="both"/>
      </w:pPr>
      <w:r>
        <w:t xml:space="preserve">3293 - </w:t>
      </w:r>
      <w:r w:rsidR="00C40EDF">
        <w:t>reprezentacija  (</w:t>
      </w:r>
      <w:r w:rsidR="009B54C3">
        <w:t>13.242,78 EUR</w:t>
      </w:r>
      <w:r w:rsidR="00C40EDF">
        <w:t xml:space="preserve">), </w:t>
      </w:r>
    </w:p>
    <w:p w14:paraId="70CBA66E" w14:textId="184DB4A1" w:rsidR="00EE743B" w:rsidRDefault="00EE743B" w:rsidP="00913D0D">
      <w:pPr>
        <w:jc w:val="both"/>
      </w:pPr>
      <w:r>
        <w:t xml:space="preserve">3294 - </w:t>
      </w:r>
      <w:r w:rsidR="00C40EDF">
        <w:t>članarine (</w:t>
      </w:r>
      <w:r w:rsidR="009B54C3">
        <w:t>1.756,00 EUR</w:t>
      </w:r>
      <w:r w:rsidR="00C40EDF">
        <w:t xml:space="preserve">), </w:t>
      </w:r>
    </w:p>
    <w:p w14:paraId="4C63E7A0" w14:textId="4947C3ED" w:rsidR="00EE743B" w:rsidRDefault="00EE743B" w:rsidP="00913D0D">
      <w:pPr>
        <w:jc w:val="both"/>
      </w:pPr>
      <w:r>
        <w:t xml:space="preserve">3295 - </w:t>
      </w:r>
      <w:r w:rsidR="00C40EDF">
        <w:t>pristojbe i naknade (</w:t>
      </w:r>
      <w:r w:rsidR="00363145">
        <w:t>789,64 EUR</w:t>
      </w:r>
      <w:r w:rsidR="00C40EDF">
        <w:t xml:space="preserve">), </w:t>
      </w:r>
    </w:p>
    <w:p w14:paraId="4512F342" w14:textId="0F9EB29E" w:rsidR="00CD6FA1" w:rsidRDefault="00EE743B" w:rsidP="00CD6FA1">
      <w:pPr>
        <w:jc w:val="both"/>
      </w:pPr>
      <w:r>
        <w:t xml:space="preserve">3299 - </w:t>
      </w:r>
      <w:r w:rsidR="00C40EDF">
        <w:t>ostali nes</w:t>
      </w:r>
      <w:r w:rsidR="00A03B66">
        <w:t>pomenuti rashodi poslovanja</w:t>
      </w:r>
      <w:r w:rsidR="00C40EDF">
        <w:t xml:space="preserve"> (</w:t>
      </w:r>
      <w:r w:rsidR="00363145">
        <w:t>68.640,18 EUR</w:t>
      </w:r>
      <w:r w:rsidR="00C40EDF">
        <w:t xml:space="preserve">) </w:t>
      </w:r>
      <w:r w:rsidR="00A03B66">
        <w:t xml:space="preserve"> </w:t>
      </w:r>
    </w:p>
    <w:p w14:paraId="5AB19855" w14:textId="6E292454" w:rsidR="00CD6FA1" w:rsidRDefault="00CD6FA1" w:rsidP="00CD6FA1">
      <w:pPr>
        <w:jc w:val="both"/>
      </w:pPr>
      <w:r>
        <w:t xml:space="preserve">Ostali nespomenuti rashodi poslovanja izvršeni su </w:t>
      </w:r>
      <w:r w:rsidR="00C9564A">
        <w:t>94</w:t>
      </w:r>
      <w:r>
        <w:t>% u odnosu na plan za 202</w:t>
      </w:r>
      <w:r w:rsidR="00C9564A">
        <w:t>5</w:t>
      </w:r>
      <w:r>
        <w:t>, dok su se u odnosu na isto razdoblje 202</w:t>
      </w:r>
      <w:r w:rsidR="00C9564A">
        <w:t>4</w:t>
      </w:r>
      <w:r>
        <w:t>,</w:t>
      </w:r>
      <w:r w:rsidR="00367D7C">
        <w:t xml:space="preserve"> povećali za </w:t>
      </w:r>
      <w:r w:rsidR="00C9564A">
        <w:t>23</w:t>
      </w:r>
      <w:r w:rsidR="00367D7C">
        <w:t xml:space="preserve">% </w:t>
      </w:r>
      <w:r>
        <w:t xml:space="preserve"> a udio u ukupnim materijalnim rashodima iznosi</w:t>
      </w:r>
      <w:r w:rsidR="00D14FE9">
        <w:t xml:space="preserve"> 3 </w:t>
      </w:r>
      <w:r>
        <w:t>%</w:t>
      </w:r>
    </w:p>
    <w:p w14:paraId="16408129" w14:textId="3D5E6525" w:rsidR="00EE743B" w:rsidRDefault="00C40EDF" w:rsidP="00913D0D">
      <w:pPr>
        <w:jc w:val="both"/>
      </w:pPr>
      <w:r>
        <w:tab/>
      </w:r>
      <w:r w:rsidRPr="00C40EDF">
        <w:rPr>
          <w:b/>
          <w:bCs/>
        </w:rPr>
        <w:t>3</w:t>
      </w:r>
      <w:r w:rsidR="00A03B66">
        <w:rPr>
          <w:b/>
          <w:bCs/>
        </w:rPr>
        <w:t>43 – Ostali financijski rashodi</w:t>
      </w:r>
      <w:r w:rsidRPr="00C40EDF">
        <w:rPr>
          <w:b/>
          <w:bCs/>
        </w:rPr>
        <w:t xml:space="preserve"> </w:t>
      </w:r>
      <w:r w:rsidR="00FD3DE3">
        <w:rPr>
          <w:b/>
          <w:bCs/>
        </w:rPr>
        <w:t xml:space="preserve">1.175,73 </w:t>
      </w:r>
      <w:r w:rsidR="00BC64CF">
        <w:rPr>
          <w:b/>
          <w:bCs/>
        </w:rPr>
        <w:t>EUR</w:t>
      </w:r>
      <w:r>
        <w:rPr>
          <w:b/>
          <w:bCs/>
        </w:rPr>
        <w:t xml:space="preserve"> </w:t>
      </w:r>
      <w:r>
        <w:t>, odnose se  na</w:t>
      </w:r>
      <w:r w:rsidR="00A03B66">
        <w:t>:</w:t>
      </w:r>
      <w:r>
        <w:t xml:space="preserve"> </w:t>
      </w:r>
    </w:p>
    <w:p w14:paraId="6E10E74E" w14:textId="695AE1FD" w:rsidR="00EE743B" w:rsidRDefault="00EE743B" w:rsidP="00913D0D">
      <w:pPr>
        <w:jc w:val="both"/>
      </w:pPr>
      <w:r>
        <w:t xml:space="preserve">3431 - </w:t>
      </w:r>
      <w:r w:rsidR="00C40EDF">
        <w:t>bankarske usluge (</w:t>
      </w:r>
      <w:r w:rsidR="00FD3DE3">
        <w:t>1.</w:t>
      </w:r>
      <w:r w:rsidR="00E0202E">
        <w:t>484,18 EUR</w:t>
      </w:r>
      <w:r w:rsidR="00C40EDF">
        <w:t>),</w:t>
      </w:r>
    </w:p>
    <w:p w14:paraId="77EE4A78" w14:textId="1EED8836" w:rsidR="00877416" w:rsidRDefault="00877416" w:rsidP="00913D0D">
      <w:pPr>
        <w:jc w:val="both"/>
      </w:pPr>
      <w:r>
        <w:lastRenderedPageBreak/>
        <w:t xml:space="preserve">Financijski rashodi </w:t>
      </w:r>
      <w:r w:rsidR="00CD6FA1">
        <w:t>izvršeni su</w:t>
      </w:r>
      <w:r w:rsidR="00FD3DE3">
        <w:t xml:space="preserve"> </w:t>
      </w:r>
      <w:r w:rsidR="00E0202E">
        <w:t>51</w:t>
      </w:r>
      <w:r w:rsidR="00A223E5">
        <w:t>% u odnosu na plan za 202</w:t>
      </w:r>
      <w:r w:rsidR="00E0202E">
        <w:t>5</w:t>
      </w:r>
      <w:r w:rsidR="00A223E5">
        <w:t>, dok su se povećali za</w:t>
      </w:r>
      <w:r w:rsidR="00FD3DE3">
        <w:t xml:space="preserve"> </w:t>
      </w:r>
      <w:r w:rsidR="004F33B9">
        <w:t>9</w:t>
      </w:r>
      <w:r w:rsidR="00A223E5">
        <w:t>% u odnosu na isto razdoblje 202</w:t>
      </w:r>
      <w:r w:rsidR="004F33B9">
        <w:t>4</w:t>
      </w:r>
      <w:r w:rsidR="00A223E5">
        <w:t>.</w:t>
      </w:r>
    </w:p>
    <w:p w14:paraId="75370F02" w14:textId="2FA13CA6" w:rsidR="00343394" w:rsidRDefault="00C40EDF" w:rsidP="00913D0D">
      <w:pPr>
        <w:jc w:val="both"/>
      </w:pPr>
      <w:r>
        <w:tab/>
      </w:r>
      <w:r w:rsidRPr="00C40EDF">
        <w:rPr>
          <w:b/>
          <w:bCs/>
        </w:rPr>
        <w:t>38-</w:t>
      </w:r>
      <w:r w:rsidR="00343394">
        <w:rPr>
          <w:b/>
          <w:bCs/>
        </w:rPr>
        <w:t xml:space="preserve"> </w:t>
      </w:r>
      <w:r w:rsidR="004F33B9">
        <w:rPr>
          <w:b/>
          <w:bCs/>
        </w:rPr>
        <w:t xml:space="preserve">Ostali rashodi </w:t>
      </w:r>
      <w:r w:rsidRPr="00C40EDF">
        <w:rPr>
          <w:b/>
          <w:bCs/>
        </w:rPr>
        <w:t xml:space="preserve">  - </w:t>
      </w:r>
      <w:r w:rsidR="00A223E5">
        <w:t>nisu se realizirali u razdoblju od I-</w:t>
      </w:r>
      <w:r w:rsidR="007F10E6">
        <w:t>XII</w:t>
      </w:r>
      <w:r w:rsidR="00A223E5">
        <w:t>.20</w:t>
      </w:r>
      <w:r w:rsidR="004F33B9">
        <w:t>25</w:t>
      </w:r>
      <w:r w:rsidR="00A223E5">
        <w:t>. godine</w:t>
      </w:r>
    </w:p>
    <w:p w14:paraId="312F4E92" w14:textId="32228212" w:rsidR="00467A6B" w:rsidRDefault="00467A6B" w:rsidP="00467A6B">
      <w:pPr>
        <w:pStyle w:val="ListParagraph"/>
        <w:numPr>
          <w:ilvl w:val="1"/>
          <w:numId w:val="1"/>
        </w:numPr>
        <w:jc w:val="both"/>
        <w:rPr>
          <w:b/>
          <w:bCs/>
        </w:rPr>
      </w:pPr>
      <w:r w:rsidRPr="00467A6B">
        <w:rPr>
          <w:b/>
          <w:bCs/>
        </w:rPr>
        <w:t xml:space="preserve">RASHODI ZA NABAVU NEFINANCIJSKE IMOVINE </w:t>
      </w:r>
    </w:p>
    <w:p w14:paraId="0ED4CD23" w14:textId="39F4B717" w:rsidR="00A223E5" w:rsidRPr="00A223E5" w:rsidRDefault="00A223E5" w:rsidP="00A223E5">
      <w:pPr>
        <w:autoSpaceDE w:val="0"/>
        <w:autoSpaceDN w:val="0"/>
        <w:adjustRightInd w:val="0"/>
        <w:jc w:val="both"/>
        <w:rPr>
          <w:b/>
          <w:bCs/>
        </w:rPr>
      </w:pPr>
      <w:r w:rsidRPr="00E34529">
        <w:t>Rashodi za nabavu nefinancijske imovine (razred 4) izvršeni su sa</w:t>
      </w:r>
      <w:r w:rsidR="00925E46">
        <w:t xml:space="preserve"> 81.497,40 EUR </w:t>
      </w:r>
      <w:r w:rsidRPr="00E34529">
        <w:t>odnosno sa</w:t>
      </w:r>
      <w:r w:rsidR="007F10E6">
        <w:t xml:space="preserve"> </w:t>
      </w:r>
      <w:r w:rsidR="00435FF5">
        <w:t>76</w:t>
      </w:r>
      <w:r w:rsidRPr="00E34529">
        <w:t xml:space="preserve">% proračunom planiranih i </w:t>
      </w:r>
      <w:r>
        <w:t xml:space="preserve">veći </w:t>
      </w:r>
      <w:r w:rsidRPr="00E34529">
        <w:t xml:space="preserve"> su za </w:t>
      </w:r>
      <w:r w:rsidR="00435FF5">
        <w:t>11</w:t>
      </w:r>
      <w:r w:rsidRPr="00E34529">
        <w:t>% u odnosu na istovrsne rashode u izvještajnom razdoblju 202</w:t>
      </w:r>
      <w:r w:rsidR="00435FF5">
        <w:t>4</w:t>
      </w:r>
      <w:r w:rsidRPr="00E34529">
        <w:t>. godine</w:t>
      </w:r>
      <w:r w:rsidR="00435FF5">
        <w:t>.</w:t>
      </w:r>
    </w:p>
    <w:p w14:paraId="5C9A4B1E" w14:textId="7D098259" w:rsidR="00467A6B" w:rsidRDefault="00467A6B" w:rsidP="00467A6B">
      <w:pPr>
        <w:jc w:val="both"/>
      </w:pPr>
      <w:r>
        <w:tab/>
      </w:r>
      <w:r w:rsidR="00343394" w:rsidRPr="00343394">
        <w:rPr>
          <w:b/>
        </w:rPr>
        <w:t xml:space="preserve">41 – </w:t>
      </w:r>
      <w:r w:rsidRPr="00343394">
        <w:rPr>
          <w:b/>
          <w:bCs/>
        </w:rPr>
        <w:t>Rashodi</w:t>
      </w:r>
      <w:r w:rsidR="00343394">
        <w:rPr>
          <w:b/>
          <w:bCs/>
        </w:rPr>
        <w:t xml:space="preserve"> </w:t>
      </w:r>
      <w:r w:rsidRPr="00467A6B">
        <w:rPr>
          <w:b/>
          <w:bCs/>
        </w:rPr>
        <w:t xml:space="preserve"> za nabavu </w:t>
      </w:r>
      <w:r w:rsidR="007200E4" w:rsidRPr="00467A6B">
        <w:rPr>
          <w:b/>
          <w:bCs/>
        </w:rPr>
        <w:t>n</w:t>
      </w:r>
      <w:r w:rsidR="007200E4">
        <w:rPr>
          <w:b/>
          <w:bCs/>
        </w:rPr>
        <w:t>e proizvedene</w:t>
      </w:r>
      <w:r w:rsidR="00343394">
        <w:rPr>
          <w:b/>
          <w:bCs/>
        </w:rPr>
        <w:t xml:space="preserve"> dugotrajne imovine</w:t>
      </w:r>
      <w:r>
        <w:t xml:space="preserve"> </w:t>
      </w:r>
      <w:r w:rsidRPr="00343394">
        <w:rPr>
          <w:b/>
        </w:rPr>
        <w:t>u</w:t>
      </w:r>
      <w:r w:rsidR="00A223E5">
        <w:rPr>
          <w:b/>
        </w:rPr>
        <w:t xml:space="preserve"> izvršeni su u</w:t>
      </w:r>
      <w:r w:rsidRPr="00343394">
        <w:rPr>
          <w:b/>
        </w:rPr>
        <w:t xml:space="preserve"> iznosu od </w:t>
      </w:r>
      <w:r w:rsidR="003066D1">
        <w:rPr>
          <w:b/>
        </w:rPr>
        <w:t xml:space="preserve">4.124,27 EUR </w:t>
      </w:r>
      <w:r w:rsidR="00343394">
        <w:t>,</w:t>
      </w:r>
      <w:r>
        <w:t xml:space="preserve"> a </w:t>
      </w:r>
      <w:r w:rsidR="00A223E5">
        <w:t>odnose se na</w:t>
      </w:r>
      <w:r>
        <w:t xml:space="preserve"> nabavu</w:t>
      </w:r>
      <w:r w:rsidR="00343394">
        <w:t xml:space="preserve"> licenci do 3 godine - 4123.</w:t>
      </w:r>
    </w:p>
    <w:p w14:paraId="37D33C12" w14:textId="7F156680" w:rsidR="007200E4" w:rsidRDefault="007200E4" w:rsidP="00467A6B">
      <w:pPr>
        <w:jc w:val="both"/>
      </w:pPr>
      <w:r>
        <w:t xml:space="preserve">Rashodi za nabavu ne proizvedene materijalne imovine izvršena je </w:t>
      </w:r>
      <w:r w:rsidR="003066D1">
        <w:t>48</w:t>
      </w:r>
      <w:r>
        <w:t>% u odnosu na plan 202</w:t>
      </w:r>
      <w:r w:rsidR="003066D1">
        <w:t>5</w:t>
      </w:r>
      <w:r w:rsidR="00C74B68">
        <w:t>.</w:t>
      </w:r>
    </w:p>
    <w:p w14:paraId="0C4DD979" w14:textId="75CA9468" w:rsidR="00EE743B" w:rsidRDefault="00467A6B" w:rsidP="00A223E5">
      <w:pPr>
        <w:jc w:val="both"/>
      </w:pPr>
      <w:r>
        <w:tab/>
      </w:r>
      <w:r w:rsidR="00343394" w:rsidRPr="00343394">
        <w:rPr>
          <w:b/>
        </w:rPr>
        <w:t xml:space="preserve">42 – </w:t>
      </w:r>
      <w:r w:rsidRPr="00343394">
        <w:rPr>
          <w:b/>
          <w:bCs/>
        </w:rPr>
        <w:t>Rashodi</w:t>
      </w:r>
      <w:r w:rsidR="00343394">
        <w:rPr>
          <w:b/>
          <w:bCs/>
        </w:rPr>
        <w:t xml:space="preserve"> </w:t>
      </w:r>
      <w:r w:rsidRPr="00467A6B">
        <w:rPr>
          <w:b/>
          <w:bCs/>
        </w:rPr>
        <w:t xml:space="preserve"> za nabavu proizvedene dugotrajne imovine</w:t>
      </w:r>
      <w:r>
        <w:rPr>
          <w:b/>
          <w:bCs/>
        </w:rPr>
        <w:t xml:space="preserve"> – </w:t>
      </w:r>
      <w:r w:rsidR="00A223E5">
        <w:t>izvršeni</w:t>
      </w:r>
      <w:r>
        <w:t xml:space="preserve"> su  u iznosu od </w:t>
      </w:r>
      <w:r w:rsidR="00F64E83">
        <w:t>77.373,13 EUR</w:t>
      </w:r>
      <w:r>
        <w:t xml:space="preserve">, </w:t>
      </w:r>
      <w:r w:rsidR="00A223E5">
        <w:t xml:space="preserve">a odnose se na </w:t>
      </w:r>
    </w:p>
    <w:p w14:paraId="2AFF9713" w14:textId="7FF98EF8" w:rsidR="003F5A5B" w:rsidRDefault="003F5A5B" w:rsidP="00A223E5">
      <w:pPr>
        <w:jc w:val="both"/>
      </w:pPr>
      <w:r>
        <w:t>4221 – Uredska oprema i namještaj  (4</w:t>
      </w:r>
      <w:r w:rsidR="00F64E83">
        <w:t>0.755,65 EUR</w:t>
      </w:r>
      <w:r>
        <w:t>)</w:t>
      </w:r>
    </w:p>
    <w:p w14:paraId="76AF06AC" w14:textId="6E9B6E82" w:rsidR="003F5A5B" w:rsidRDefault="003F5A5B" w:rsidP="00A223E5">
      <w:pPr>
        <w:jc w:val="both"/>
      </w:pPr>
      <w:r>
        <w:t>4222 – Komunikacijska oprema (</w:t>
      </w:r>
      <w:r w:rsidR="00BB3B84">
        <w:t>2.315,01 EUR</w:t>
      </w:r>
      <w:r>
        <w:t>)</w:t>
      </w:r>
    </w:p>
    <w:p w14:paraId="7314F326" w14:textId="27488A9A" w:rsidR="00BB3B84" w:rsidRDefault="004E4EE9" w:rsidP="00A223E5">
      <w:pPr>
        <w:jc w:val="both"/>
      </w:pPr>
      <w:r>
        <w:t>4223 – Oprema za održavanje i zaštitu (10.482,13 EUR)</w:t>
      </w:r>
    </w:p>
    <w:p w14:paraId="23A4B896" w14:textId="193299A0" w:rsidR="004E4EE9" w:rsidRDefault="000C4D9E" w:rsidP="00A223E5">
      <w:pPr>
        <w:jc w:val="both"/>
      </w:pPr>
      <w:r>
        <w:t>4226 – Sportska oprema (170,34 EUR)</w:t>
      </w:r>
    </w:p>
    <w:p w14:paraId="3806EF40" w14:textId="06B465CC" w:rsidR="000C4D9E" w:rsidRDefault="00073527" w:rsidP="00A223E5">
      <w:pPr>
        <w:jc w:val="both"/>
      </w:pPr>
      <w:r>
        <w:t>4242- Umjetnička djela (23.650,00 EUR)</w:t>
      </w:r>
    </w:p>
    <w:p w14:paraId="1616E3C1" w14:textId="3B87A678" w:rsidR="00A223E5" w:rsidRDefault="00A223E5" w:rsidP="00A223E5">
      <w:pPr>
        <w:jc w:val="both"/>
      </w:pPr>
      <w:r>
        <w:t xml:space="preserve">Rashodi za nabavu proizvedene materijalne imovine </w:t>
      </w:r>
      <w:r w:rsidR="007200E4">
        <w:t xml:space="preserve">izvršena je </w:t>
      </w:r>
      <w:r w:rsidR="00A87945">
        <w:t>78</w:t>
      </w:r>
      <w:r w:rsidR="007200E4">
        <w:t>% u odnosu na plan 202</w:t>
      </w:r>
      <w:r w:rsidR="00A87945">
        <w:t>5</w:t>
      </w:r>
      <w:r w:rsidR="007200E4">
        <w:t>, dok je u odnosu na isto razdoblje 202</w:t>
      </w:r>
      <w:r w:rsidR="00A87945">
        <w:t>4</w:t>
      </w:r>
      <w:r w:rsidR="007200E4">
        <w:t xml:space="preserve">. godine veća za </w:t>
      </w:r>
      <w:r w:rsidR="00A87945">
        <w:t>8</w:t>
      </w:r>
      <w:r w:rsidR="007200E4">
        <w:t>%.</w:t>
      </w:r>
    </w:p>
    <w:p w14:paraId="6718D010" w14:textId="115D80C5" w:rsidR="00D52882" w:rsidRDefault="007200E4" w:rsidP="00D5288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PRIKAZ VIŠKA/MANJKA PRORAČUNA</w:t>
      </w:r>
    </w:p>
    <w:p w14:paraId="20681E8B" w14:textId="75902977" w:rsidR="00DA2592" w:rsidRPr="00DA2592" w:rsidRDefault="00DA2592" w:rsidP="00DA2592">
      <w:pPr>
        <w:pStyle w:val="ListParagraph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>Ukupni višak/manjak proračuna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2953"/>
        <w:gridCol w:w="1394"/>
        <w:gridCol w:w="1394"/>
        <w:gridCol w:w="1631"/>
        <w:gridCol w:w="1639"/>
        <w:gridCol w:w="1763"/>
      </w:tblGrid>
      <w:tr w:rsidR="00234419" w:rsidRPr="00234419" w14:paraId="55668AD6" w14:textId="77777777" w:rsidTr="00443821">
        <w:trPr>
          <w:trHeight w:val="900"/>
        </w:trPr>
        <w:tc>
          <w:tcPr>
            <w:tcW w:w="2953" w:type="dxa"/>
            <w:noWrap/>
            <w:hideMark/>
          </w:tcPr>
          <w:p w14:paraId="59555171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Brojčana oznaka i naziv</w:t>
            </w:r>
          </w:p>
        </w:tc>
        <w:tc>
          <w:tcPr>
            <w:tcW w:w="1394" w:type="dxa"/>
            <w:hideMark/>
          </w:tcPr>
          <w:p w14:paraId="39224E21" w14:textId="3FE7598E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Izvršenje I-</w:t>
            </w:r>
            <w:r w:rsidR="00C230B1">
              <w:rPr>
                <w:b/>
                <w:bCs/>
              </w:rPr>
              <w:t>XI</w:t>
            </w:r>
            <w:r w:rsidRPr="00234419">
              <w:rPr>
                <w:b/>
                <w:bCs/>
              </w:rPr>
              <w:t>I. 202</w:t>
            </w:r>
            <w:r w:rsidR="00C230B1">
              <w:rPr>
                <w:b/>
                <w:bCs/>
              </w:rPr>
              <w:t>4.</w:t>
            </w:r>
          </w:p>
        </w:tc>
        <w:tc>
          <w:tcPr>
            <w:tcW w:w="1394" w:type="dxa"/>
            <w:hideMark/>
          </w:tcPr>
          <w:p w14:paraId="741C23B3" w14:textId="199C2DBF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Plan</w:t>
            </w:r>
            <w:r w:rsidRPr="00234419">
              <w:rPr>
                <w:b/>
                <w:bCs/>
              </w:rPr>
              <w:br/>
              <w:t xml:space="preserve"> 202</w:t>
            </w:r>
            <w:r w:rsidR="00C230B1">
              <w:rPr>
                <w:b/>
                <w:bCs/>
              </w:rPr>
              <w:t>5</w:t>
            </w:r>
            <w:r w:rsidRPr="00234419">
              <w:rPr>
                <w:b/>
                <w:bCs/>
              </w:rPr>
              <w:t>.</w:t>
            </w:r>
          </w:p>
        </w:tc>
        <w:tc>
          <w:tcPr>
            <w:tcW w:w="1631" w:type="dxa"/>
            <w:hideMark/>
          </w:tcPr>
          <w:p w14:paraId="76927074" w14:textId="6EBC78CC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 xml:space="preserve">Izvršenje </w:t>
            </w:r>
            <w:r w:rsidRPr="00234419">
              <w:rPr>
                <w:b/>
                <w:bCs/>
              </w:rPr>
              <w:br/>
              <w:t>I-</w:t>
            </w:r>
            <w:r w:rsidR="00C230B1">
              <w:rPr>
                <w:b/>
                <w:bCs/>
              </w:rPr>
              <w:t>XII</w:t>
            </w:r>
            <w:r w:rsidRPr="00234419">
              <w:rPr>
                <w:b/>
                <w:bCs/>
              </w:rPr>
              <w:t>.202</w:t>
            </w:r>
            <w:r w:rsidR="00C230B1">
              <w:rPr>
                <w:b/>
                <w:bCs/>
              </w:rPr>
              <w:t>5</w:t>
            </w:r>
          </w:p>
        </w:tc>
        <w:tc>
          <w:tcPr>
            <w:tcW w:w="1639" w:type="dxa"/>
            <w:hideMark/>
          </w:tcPr>
          <w:p w14:paraId="6AF0F7AB" w14:textId="62BA419D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 xml:space="preserve">Indeks </w:t>
            </w:r>
            <w:proofErr w:type="spellStart"/>
            <w:r w:rsidRPr="00234419">
              <w:rPr>
                <w:b/>
                <w:bCs/>
              </w:rPr>
              <w:t>izvrš</w:t>
            </w:r>
            <w:proofErr w:type="spellEnd"/>
            <w:r w:rsidRPr="00234419">
              <w:rPr>
                <w:b/>
                <w:bCs/>
              </w:rPr>
              <w:t>/izvrš.202</w:t>
            </w:r>
            <w:r w:rsidR="00041DFD">
              <w:rPr>
                <w:b/>
                <w:bCs/>
              </w:rPr>
              <w:t>4</w:t>
            </w:r>
          </w:p>
        </w:tc>
        <w:tc>
          <w:tcPr>
            <w:tcW w:w="1763" w:type="dxa"/>
            <w:hideMark/>
          </w:tcPr>
          <w:p w14:paraId="395A39C2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Indeks</w:t>
            </w:r>
            <w:r w:rsidRPr="00234419">
              <w:rPr>
                <w:b/>
                <w:bCs/>
              </w:rPr>
              <w:br/>
            </w:r>
            <w:proofErr w:type="spellStart"/>
            <w:r w:rsidRPr="00234419">
              <w:rPr>
                <w:b/>
                <w:bCs/>
              </w:rPr>
              <w:t>izvrš</w:t>
            </w:r>
            <w:proofErr w:type="spellEnd"/>
            <w:r w:rsidRPr="00234419">
              <w:rPr>
                <w:b/>
                <w:bCs/>
              </w:rPr>
              <w:t>./tek. plan</w:t>
            </w:r>
          </w:p>
        </w:tc>
      </w:tr>
      <w:tr w:rsidR="00234419" w:rsidRPr="00234419" w14:paraId="3244C31F" w14:textId="77777777" w:rsidTr="00443821">
        <w:trPr>
          <w:trHeight w:val="465"/>
        </w:trPr>
        <w:tc>
          <w:tcPr>
            <w:tcW w:w="2953" w:type="dxa"/>
            <w:hideMark/>
          </w:tcPr>
          <w:p w14:paraId="59E918E5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6 Prihodi poslovanja</w:t>
            </w:r>
          </w:p>
        </w:tc>
        <w:tc>
          <w:tcPr>
            <w:tcW w:w="1394" w:type="dxa"/>
            <w:hideMark/>
          </w:tcPr>
          <w:p w14:paraId="5E6CEB45" w14:textId="53034307" w:rsidR="00234419" w:rsidRPr="00234419" w:rsidRDefault="00041DFD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5145">
              <w:rPr>
                <w:b/>
                <w:bCs/>
              </w:rPr>
              <w:t>370.913,49</w:t>
            </w:r>
          </w:p>
        </w:tc>
        <w:tc>
          <w:tcPr>
            <w:tcW w:w="1394" w:type="dxa"/>
            <w:hideMark/>
          </w:tcPr>
          <w:p w14:paraId="138AAD5B" w14:textId="4E7B883B" w:rsidR="00234419" w:rsidRPr="00234419" w:rsidRDefault="00F25145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1.867.741,00</w:t>
            </w:r>
          </w:p>
        </w:tc>
        <w:tc>
          <w:tcPr>
            <w:tcW w:w="1631" w:type="dxa"/>
            <w:hideMark/>
          </w:tcPr>
          <w:p w14:paraId="4A293621" w14:textId="42E5434F" w:rsidR="00234419" w:rsidRPr="00234419" w:rsidRDefault="007107A5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1.71</w:t>
            </w:r>
            <w:r w:rsidR="001B7D04">
              <w:rPr>
                <w:b/>
                <w:bCs/>
              </w:rPr>
              <w:t>4</w:t>
            </w:r>
            <w:r>
              <w:rPr>
                <w:b/>
                <w:bCs/>
              </w:rPr>
              <w:t>.077,74</w:t>
            </w:r>
          </w:p>
        </w:tc>
        <w:tc>
          <w:tcPr>
            <w:tcW w:w="1639" w:type="dxa"/>
            <w:hideMark/>
          </w:tcPr>
          <w:p w14:paraId="2A0E6110" w14:textId="2AB13884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1</w:t>
            </w:r>
            <w:r w:rsidR="007107A5">
              <w:rPr>
                <w:b/>
                <w:bCs/>
              </w:rPr>
              <w:t>25</w:t>
            </w:r>
            <w:r w:rsidRPr="00234419">
              <w:rPr>
                <w:b/>
                <w:bCs/>
              </w:rPr>
              <w:t>%</w:t>
            </w:r>
          </w:p>
        </w:tc>
        <w:tc>
          <w:tcPr>
            <w:tcW w:w="1763" w:type="dxa"/>
            <w:noWrap/>
            <w:hideMark/>
          </w:tcPr>
          <w:p w14:paraId="04AE6AD3" w14:textId="4F4B44C0" w:rsidR="00234419" w:rsidRPr="00234419" w:rsidRDefault="007107A5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  <w:r w:rsidR="00234419" w:rsidRPr="00234419">
              <w:rPr>
                <w:b/>
                <w:bCs/>
              </w:rPr>
              <w:t>%</w:t>
            </w:r>
          </w:p>
        </w:tc>
      </w:tr>
      <w:tr w:rsidR="00234419" w:rsidRPr="00234419" w14:paraId="01A56D93" w14:textId="77777777" w:rsidTr="00443821">
        <w:trPr>
          <w:trHeight w:val="555"/>
        </w:trPr>
        <w:tc>
          <w:tcPr>
            <w:tcW w:w="2953" w:type="dxa"/>
            <w:hideMark/>
          </w:tcPr>
          <w:p w14:paraId="12FE4505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7 Prihodi od prodaje nefinancijske imovine</w:t>
            </w:r>
          </w:p>
        </w:tc>
        <w:tc>
          <w:tcPr>
            <w:tcW w:w="1394" w:type="dxa"/>
            <w:hideMark/>
          </w:tcPr>
          <w:p w14:paraId="3FAA929B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0,00</w:t>
            </w:r>
          </w:p>
        </w:tc>
        <w:tc>
          <w:tcPr>
            <w:tcW w:w="1394" w:type="dxa"/>
            <w:hideMark/>
          </w:tcPr>
          <w:p w14:paraId="0DC70A38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 xml:space="preserve">0 </w:t>
            </w:r>
          </w:p>
        </w:tc>
        <w:tc>
          <w:tcPr>
            <w:tcW w:w="1631" w:type="dxa"/>
            <w:noWrap/>
            <w:hideMark/>
          </w:tcPr>
          <w:p w14:paraId="27DFCBE1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0,00</w:t>
            </w:r>
          </w:p>
        </w:tc>
        <w:tc>
          <w:tcPr>
            <w:tcW w:w="1639" w:type="dxa"/>
            <w:hideMark/>
          </w:tcPr>
          <w:p w14:paraId="4F9D3FCB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0%</w:t>
            </w:r>
          </w:p>
        </w:tc>
        <w:tc>
          <w:tcPr>
            <w:tcW w:w="1763" w:type="dxa"/>
            <w:noWrap/>
            <w:hideMark/>
          </w:tcPr>
          <w:p w14:paraId="5EA52C68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0%</w:t>
            </w:r>
          </w:p>
        </w:tc>
      </w:tr>
      <w:tr w:rsidR="00234419" w:rsidRPr="00234419" w14:paraId="64F059E7" w14:textId="77777777" w:rsidTr="00443821">
        <w:trPr>
          <w:trHeight w:val="570"/>
        </w:trPr>
        <w:tc>
          <w:tcPr>
            <w:tcW w:w="2953" w:type="dxa"/>
            <w:hideMark/>
          </w:tcPr>
          <w:p w14:paraId="42694112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3 Rashodi poslovanja</w:t>
            </w:r>
          </w:p>
        </w:tc>
        <w:tc>
          <w:tcPr>
            <w:tcW w:w="1394" w:type="dxa"/>
            <w:hideMark/>
          </w:tcPr>
          <w:p w14:paraId="3CDB4930" w14:textId="77777777" w:rsidR="003C3CDF" w:rsidRPr="003C3CDF" w:rsidRDefault="003C3CDF" w:rsidP="003C3CDF">
            <w:pPr>
              <w:jc w:val="both"/>
              <w:rPr>
                <w:b/>
                <w:bCs/>
              </w:rPr>
            </w:pPr>
            <w:r w:rsidRPr="003C3CDF">
              <w:rPr>
                <w:b/>
                <w:bCs/>
              </w:rPr>
              <w:t>1.280.808,86</w:t>
            </w:r>
          </w:p>
          <w:p w14:paraId="5AF230DF" w14:textId="3106E009" w:rsidR="00234419" w:rsidRPr="00234419" w:rsidRDefault="00234419" w:rsidP="00234419">
            <w:pPr>
              <w:jc w:val="both"/>
              <w:rPr>
                <w:b/>
                <w:bCs/>
              </w:rPr>
            </w:pPr>
          </w:p>
        </w:tc>
        <w:tc>
          <w:tcPr>
            <w:tcW w:w="1394" w:type="dxa"/>
            <w:hideMark/>
          </w:tcPr>
          <w:p w14:paraId="1849BE72" w14:textId="382B50C7" w:rsidR="00234419" w:rsidRPr="00234419" w:rsidRDefault="00C5338E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1.846.593,00</w:t>
            </w:r>
          </w:p>
        </w:tc>
        <w:tc>
          <w:tcPr>
            <w:tcW w:w="1631" w:type="dxa"/>
            <w:hideMark/>
          </w:tcPr>
          <w:p w14:paraId="601BD050" w14:textId="398E646B" w:rsidR="00234419" w:rsidRPr="00234419" w:rsidRDefault="00930C2A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1.648.437,18</w:t>
            </w:r>
          </w:p>
        </w:tc>
        <w:tc>
          <w:tcPr>
            <w:tcW w:w="1639" w:type="dxa"/>
            <w:hideMark/>
          </w:tcPr>
          <w:p w14:paraId="2613700B" w14:textId="6C5852FA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1</w:t>
            </w:r>
            <w:r w:rsidR="00930C2A">
              <w:rPr>
                <w:b/>
                <w:bCs/>
              </w:rPr>
              <w:t>28</w:t>
            </w:r>
            <w:r w:rsidRPr="00234419">
              <w:rPr>
                <w:b/>
                <w:bCs/>
              </w:rPr>
              <w:t>%</w:t>
            </w:r>
          </w:p>
        </w:tc>
        <w:tc>
          <w:tcPr>
            <w:tcW w:w="1763" w:type="dxa"/>
            <w:noWrap/>
            <w:hideMark/>
          </w:tcPr>
          <w:p w14:paraId="52BE2DD0" w14:textId="0ABBBE60" w:rsidR="00234419" w:rsidRPr="00234419" w:rsidRDefault="00930C2A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  <w:r w:rsidR="00234419" w:rsidRPr="00234419">
              <w:rPr>
                <w:b/>
                <w:bCs/>
              </w:rPr>
              <w:t>%</w:t>
            </w:r>
          </w:p>
        </w:tc>
      </w:tr>
      <w:tr w:rsidR="00234419" w:rsidRPr="00234419" w14:paraId="703E04D6" w14:textId="77777777" w:rsidTr="00443821">
        <w:trPr>
          <w:trHeight w:val="840"/>
        </w:trPr>
        <w:tc>
          <w:tcPr>
            <w:tcW w:w="2953" w:type="dxa"/>
            <w:hideMark/>
          </w:tcPr>
          <w:p w14:paraId="73B5EED9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4 Rashodi za nabavu nefinancijske imovine</w:t>
            </w:r>
          </w:p>
        </w:tc>
        <w:tc>
          <w:tcPr>
            <w:tcW w:w="1394" w:type="dxa"/>
            <w:hideMark/>
          </w:tcPr>
          <w:p w14:paraId="2598E54F" w14:textId="75A94DEA" w:rsidR="00234419" w:rsidRPr="00234419" w:rsidRDefault="00930C2A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73.676,00</w:t>
            </w:r>
          </w:p>
        </w:tc>
        <w:tc>
          <w:tcPr>
            <w:tcW w:w="1394" w:type="dxa"/>
            <w:hideMark/>
          </w:tcPr>
          <w:p w14:paraId="75A1BF85" w14:textId="3692F748" w:rsidR="00234419" w:rsidRPr="00234419" w:rsidRDefault="005D6C03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107.544,00</w:t>
            </w:r>
          </w:p>
        </w:tc>
        <w:tc>
          <w:tcPr>
            <w:tcW w:w="1631" w:type="dxa"/>
            <w:hideMark/>
          </w:tcPr>
          <w:p w14:paraId="593D3784" w14:textId="01AEE79E" w:rsidR="00234419" w:rsidRPr="00234419" w:rsidRDefault="005D6C03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81.497,40</w:t>
            </w:r>
          </w:p>
        </w:tc>
        <w:tc>
          <w:tcPr>
            <w:tcW w:w="1639" w:type="dxa"/>
            <w:hideMark/>
          </w:tcPr>
          <w:p w14:paraId="1C87B9DE" w14:textId="3B1B7693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1</w:t>
            </w:r>
            <w:r w:rsidR="005D6C03">
              <w:rPr>
                <w:b/>
                <w:bCs/>
              </w:rPr>
              <w:t>11</w:t>
            </w:r>
            <w:r w:rsidRPr="00234419">
              <w:rPr>
                <w:b/>
                <w:bCs/>
              </w:rPr>
              <w:t>%</w:t>
            </w:r>
          </w:p>
        </w:tc>
        <w:tc>
          <w:tcPr>
            <w:tcW w:w="1763" w:type="dxa"/>
            <w:noWrap/>
            <w:hideMark/>
          </w:tcPr>
          <w:p w14:paraId="1DF2373E" w14:textId="7DAD6128" w:rsidR="00234419" w:rsidRPr="00234419" w:rsidRDefault="00C14343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  <w:r w:rsidR="00234419" w:rsidRPr="00234419">
              <w:rPr>
                <w:b/>
                <w:bCs/>
              </w:rPr>
              <w:t>%</w:t>
            </w:r>
          </w:p>
        </w:tc>
      </w:tr>
      <w:tr w:rsidR="00234419" w:rsidRPr="00234419" w14:paraId="02895443" w14:textId="77777777" w:rsidTr="00443821">
        <w:trPr>
          <w:trHeight w:val="345"/>
        </w:trPr>
        <w:tc>
          <w:tcPr>
            <w:tcW w:w="2953" w:type="dxa"/>
            <w:hideMark/>
          </w:tcPr>
          <w:p w14:paraId="164C723E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Razlika -višak / manjak</w:t>
            </w:r>
          </w:p>
        </w:tc>
        <w:tc>
          <w:tcPr>
            <w:tcW w:w="1394" w:type="dxa"/>
            <w:noWrap/>
            <w:hideMark/>
          </w:tcPr>
          <w:p w14:paraId="0DC7689A" w14:textId="551F8348" w:rsidR="00234419" w:rsidRPr="00234419" w:rsidRDefault="00D80BF4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16.428,63</w:t>
            </w:r>
            <w:r w:rsidR="00234419" w:rsidRPr="00234419">
              <w:rPr>
                <w:b/>
                <w:bCs/>
              </w:rPr>
              <w:t xml:space="preserve"> </w:t>
            </w:r>
          </w:p>
        </w:tc>
        <w:tc>
          <w:tcPr>
            <w:tcW w:w="1394" w:type="dxa"/>
            <w:noWrap/>
            <w:hideMark/>
          </w:tcPr>
          <w:p w14:paraId="360498A3" w14:textId="3AE524A3" w:rsidR="00234419" w:rsidRPr="00234419" w:rsidRDefault="009172B3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-86.396,00</w:t>
            </w:r>
          </w:p>
        </w:tc>
        <w:tc>
          <w:tcPr>
            <w:tcW w:w="1631" w:type="dxa"/>
            <w:noWrap/>
            <w:hideMark/>
          </w:tcPr>
          <w:p w14:paraId="696083FF" w14:textId="0C2AE552" w:rsidR="00234419" w:rsidRPr="00234419" w:rsidRDefault="00037AAE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-15.856,84</w:t>
            </w:r>
          </w:p>
        </w:tc>
        <w:tc>
          <w:tcPr>
            <w:tcW w:w="1639" w:type="dxa"/>
            <w:hideMark/>
          </w:tcPr>
          <w:p w14:paraId="36B4C539" w14:textId="61481DDF" w:rsidR="00EE0329" w:rsidRPr="00234419" w:rsidRDefault="00EE0329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4FFEF1A6" w14:textId="5807FCAC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-</w:t>
            </w:r>
          </w:p>
        </w:tc>
      </w:tr>
      <w:tr w:rsidR="00234419" w:rsidRPr="00234419" w14:paraId="2E40EA45" w14:textId="77777777" w:rsidTr="00443821">
        <w:trPr>
          <w:trHeight w:val="930"/>
        </w:trPr>
        <w:tc>
          <w:tcPr>
            <w:tcW w:w="2953" w:type="dxa"/>
            <w:hideMark/>
          </w:tcPr>
          <w:p w14:paraId="6972317B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UKUPNO DONOS VIŠAK/ MANJKA IZ PRETHODNE GODINE</w:t>
            </w:r>
          </w:p>
        </w:tc>
        <w:tc>
          <w:tcPr>
            <w:tcW w:w="1394" w:type="dxa"/>
            <w:hideMark/>
          </w:tcPr>
          <w:p w14:paraId="5CE11CCB" w14:textId="04ABCC9F" w:rsidR="00234419" w:rsidRPr="00234419" w:rsidRDefault="00037AAE" w:rsidP="00234419">
            <w:pPr>
              <w:rPr>
                <w:b/>
                <w:bCs/>
              </w:rPr>
            </w:pPr>
            <w:r>
              <w:rPr>
                <w:b/>
                <w:bCs/>
              </w:rPr>
              <w:t>69.967,31</w:t>
            </w:r>
          </w:p>
        </w:tc>
        <w:tc>
          <w:tcPr>
            <w:tcW w:w="1394" w:type="dxa"/>
            <w:hideMark/>
          </w:tcPr>
          <w:p w14:paraId="431A71CF" w14:textId="2C39F2DC" w:rsidR="00234419" w:rsidRPr="00234419" w:rsidRDefault="009172B3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86.396,00</w:t>
            </w:r>
          </w:p>
        </w:tc>
        <w:tc>
          <w:tcPr>
            <w:tcW w:w="1631" w:type="dxa"/>
            <w:hideMark/>
          </w:tcPr>
          <w:p w14:paraId="688CF8C6" w14:textId="42AAF703" w:rsidR="00234419" w:rsidRPr="00234419" w:rsidRDefault="00166016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49.116,74</w:t>
            </w:r>
          </w:p>
        </w:tc>
        <w:tc>
          <w:tcPr>
            <w:tcW w:w="1639" w:type="dxa"/>
            <w:hideMark/>
          </w:tcPr>
          <w:p w14:paraId="0330B753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7EF59422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-</w:t>
            </w:r>
          </w:p>
        </w:tc>
      </w:tr>
      <w:tr w:rsidR="00234419" w:rsidRPr="00234419" w14:paraId="6B7DE38E" w14:textId="77777777" w:rsidTr="00443821">
        <w:trPr>
          <w:trHeight w:val="645"/>
        </w:trPr>
        <w:tc>
          <w:tcPr>
            <w:tcW w:w="2953" w:type="dxa"/>
            <w:hideMark/>
          </w:tcPr>
          <w:p w14:paraId="0B6824AC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Ukupno višak/manjak +donos iz prethodne godine</w:t>
            </w:r>
          </w:p>
        </w:tc>
        <w:tc>
          <w:tcPr>
            <w:tcW w:w="1394" w:type="dxa"/>
            <w:noWrap/>
            <w:hideMark/>
          </w:tcPr>
          <w:p w14:paraId="35539887" w14:textId="6A5A884A" w:rsidR="00234419" w:rsidRPr="00234419" w:rsidRDefault="00944E65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86.395,94</w:t>
            </w:r>
          </w:p>
        </w:tc>
        <w:tc>
          <w:tcPr>
            <w:tcW w:w="1394" w:type="dxa"/>
            <w:noWrap/>
            <w:hideMark/>
          </w:tcPr>
          <w:p w14:paraId="630F35CD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 xml:space="preserve">0 </w:t>
            </w:r>
          </w:p>
        </w:tc>
        <w:tc>
          <w:tcPr>
            <w:tcW w:w="1631" w:type="dxa"/>
            <w:noWrap/>
            <w:hideMark/>
          </w:tcPr>
          <w:p w14:paraId="598FF39B" w14:textId="0FC272C0" w:rsidR="00234419" w:rsidRPr="00234419" w:rsidRDefault="00166016" w:rsidP="002344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33.259,90</w:t>
            </w:r>
          </w:p>
        </w:tc>
        <w:tc>
          <w:tcPr>
            <w:tcW w:w="1639" w:type="dxa"/>
            <w:noWrap/>
            <w:hideMark/>
          </w:tcPr>
          <w:p w14:paraId="02815E00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37FFCD90" w14:textId="77777777" w:rsidR="00234419" w:rsidRPr="00234419" w:rsidRDefault="00234419" w:rsidP="00234419">
            <w:pPr>
              <w:jc w:val="both"/>
              <w:rPr>
                <w:b/>
                <w:bCs/>
              </w:rPr>
            </w:pPr>
            <w:r w:rsidRPr="00234419">
              <w:rPr>
                <w:b/>
                <w:bCs/>
              </w:rPr>
              <w:t>-</w:t>
            </w:r>
          </w:p>
        </w:tc>
      </w:tr>
    </w:tbl>
    <w:p w14:paraId="7554315C" w14:textId="77777777" w:rsidR="00DA2592" w:rsidRPr="00DA2592" w:rsidRDefault="00DA2592" w:rsidP="00DA2592">
      <w:pPr>
        <w:jc w:val="both"/>
        <w:rPr>
          <w:b/>
          <w:bCs/>
        </w:rPr>
      </w:pPr>
    </w:p>
    <w:p w14:paraId="45C59547" w14:textId="421B019A" w:rsidR="00626D95" w:rsidRPr="00234419" w:rsidRDefault="00626D95" w:rsidP="00626D95">
      <w:pPr>
        <w:pStyle w:val="TEKST-JOSIPAA"/>
        <w:spacing w:after="0" w:line="276" w:lineRule="auto"/>
        <w:rPr>
          <w:rFonts w:asciiTheme="minorHAnsi" w:hAnsiTheme="minorHAnsi" w:cstheme="minorHAnsi"/>
        </w:rPr>
      </w:pPr>
      <w:r w:rsidRPr="00234419">
        <w:rPr>
          <w:rFonts w:asciiTheme="minorHAnsi" w:hAnsiTheme="minorHAnsi" w:cstheme="minorHAnsi"/>
        </w:rPr>
        <w:lastRenderedPageBreak/>
        <w:t>Razlika ostvarenih prihoda/primitaka i izvršenih rashoda/izdataka proračuna tijekom 202</w:t>
      </w:r>
      <w:r>
        <w:rPr>
          <w:rFonts w:asciiTheme="minorHAnsi" w:hAnsiTheme="minorHAnsi" w:cstheme="minorHAnsi"/>
        </w:rPr>
        <w:t>5.</w:t>
      </w:r>
      <w:r w:rsidRPr="00234419">
        <w:rPr>
          <w:rFonts w:asciiTheme="minorHAnsi" w:hAnsiTheme="minorHAnsi" w:cstheme="minorHAnsi"/>
        </w:rPr>
        <w:t xml:space="preserve"> godine je tekući </w:t>
      </w:r>
      <w:r>
        <w:rPr>
          <w:rFonts w:asciiTheme="minorHAnsi" w:hAnsiTheme="minorHAnsi" w:cstheme="minorHAnsi"/>
        </w:rPr>
        <w:t>deficit</w:t>
      </w:r>
      <w:r w:rsidRPr="00234419">
        <w:rPr>
          <w:rFonts w:asciiTheme="minorHAnsi" w:hAnsiTheme="minorHAnsi" w:cstheme="minorHAnsi"/>
        </w:rPr>
        <w:t xml:space="preserve"> proračuna (rezultat godine) u iznosu od</w:t>
      </w:r>
      <w:r>
        <w:rPr>
          <w:rFonts w:asciiTheme="minorHAnsi" w:hAnsiTheme="minorHAnsi" w:cstheme="minorHAnsi"/>
        </w:rPr>
        <w:t xml:space="preserve"> </w:t>
      </w:r>
      <w:r w:rsidR="00BD37B1">
        <w:rPr>
          <w:rFonts w:asciiTheme="minorHAnsi" w:hAnsiTheme="minorHAnsi" w:cstheme="minorHAnsi"/>
        </w:rPr>
        <w:t>-</w:t>
      </w:r>
      <w:r w:rsidR="00C77558">
        <w:rPr>
          <w:rFonts w:asciiTheme="minorHAnsi" w:hAnsiTheme="minorHAnsi" w:cstheme="minorHAnsi"/>
        </w:rPr>
        <w:t>15.856,84</w:t>
      </w:r>
      <w:r>
        <w:rPr>
          <w:rFonts w:asciiTheme="minorHAnsi" w:hAnsiTheme="minorHAnsi" w:cstheme="minorHAnsi"/>
        </w:rPr>
        <w:t xml:space="preserve"> EUR</w:t>
      </w:r>
      <w:r w:rsidRPr="00234419">
        <w:rPr>
          <w:rFonts w:asciiTheme="minorHAnsi" w:hAnsiTheme="minorHAnsi" w:cstheme="minorHAnsi"/>
        </w:rPr>
        <w:t>.</w:t>
      </w:r>
    </w:p>
    <w:p w14:paraId="47FC8F32" w14:textId="5D423C17" w:rsidR="00626D95" w:rsidRDefault="00626D95" w:rsidP="00626D95">
      <w:pPr>
        <w:spacing w:line="276" w:lineRule="auto"/>
        <w:jc w:val="both"/>
        <w:rPr>
          <w:rFonts w:cstheme="minorHAnsi"/>
        </w:rPr>
      </w:pPr>
      <w:r w:rsidRPr="00234419">
        <w:rPr>
          <w:rFonts w:cstheme="minorHAnsi"/>
        </w:rPr>
        <w:t>Donošenjem Odluke o raspodjeli rezultata poslovanja za 202</w:t>
      </w:r>
      <w:r>
        <w:rPr>
          <w:rFonts w:cstheme="minorHAnsi"/>
        </w:rPr>
        <w:t>4</w:t>
      </w:r>
      <w:r w:rsidRPr="00234419">
        <w:rPr>
          <w:rFonts w:cstheme="minorHAnsi"/>
        </w:rPr>
        <w:t>. izvršili su se preduvjeti za uključivanje konačnog rezultata iz 202</w:t>
      </w:r>
      <w:r>
        <w:rPr>
          <w:rFonts w:cstheme="minorHAnsi"/>
        </w:rPr>
        <w:t>4.</w:t>
      </w:r>
      <w:r w:rsidRPr="00234419">
        <w:rPr>
          <w:rFonts w:cstheme="minorHAnsi"/>
        </w:rPr>
        <w:t xml:space="preserve"> utvrđenog po izvorima financiranja koji se uključio u proračun Izmjenama i dopunama proračuna. Kada se tekućem rezultatu polugodišnjeg razdoblja </w:t>
      </w:r>
      <w:r w:rsidR="00675C64">
        <w:rPr>
          <w:rFonts w:cstheme="minorHAnsi"/>
        </w:rPr>
        <w:t>-</w:t>
      </w:r>
      <w:r w:rsidR="00C77558">
        <w:rPr>
          <w:rFonts w:cstheme="minorHAnsi"/>
        </w:rPr>
        <w:t>15.856,84</w:t>
      </w:r>
      <w:r>
        <w:rPr>
          <w:rFonts w:cstheme="minorHAnsi"/>
        </w:rPr>
        <w:t xml:space="preserve"> EUR</w:t>
      </w:r>
      <w:r w:rsidRPr="00234419">
        <w:rPr>
          <w:rFonts w:cstheme="minorHAnsi"/>
        </w:rPr>
        <w:t xml:space="preserve"> pribroji preneseni višak iz 202</w:t>
      </w:r>
      <w:r>
        <w:rPr>
          <w:rFonts w:cstheme="minorHAnsi"/>
        </w:rPr>
        <w:t>4</w:t>
      </w:r>
      <w:r w:rsidRPr="00234419">
        <w:rPr>
          <w:rFonts w:cstheme="minorHAnsi"/>
        </w:rPr>
        <w:t>. ukupni višak za razdoblje od I-</w:t>
      </w:r>
      <w:r w:rsidR="00C77558">
        <w:rPr>
          <w:rFonts w:cstheme="minorHAnsi"/>
        </w:rPr>
        <w:t>XI</w:t>
      </w:r>
      <w:r w:rsidRPr="00234419">
        <w:rPr>
          <w:rFonts w:cstheme="minorHAnsi"/>
        </w:rPr>
        <w:t>I. 202</w:t>
      </w:r>
      <w:r>
        <w:rPr>
          <w:rFonts w:cstheme="minorHAnsi"/>
        </w:rPr>
        <w:t>5</w:t>
      </w:r>
      <w:r w:rsidRPr="00234419">
        <w:rPr>
          <w:rFonts w:cstheme="minorHAnsi"/>
        </w:rPr>
        <w:t xml:space="preserve">. godine iznosi </w:t>
      </w:r>
      <w:r w:rsidR="00675C64">
        <w:rPr>
          <w:rFonts w:cstheme="minorHAnsi"/>
        </w:rPr>
        <w:t>33.259,90</w:t>
      </w:r>
      <w:r>
        <w:rPr>
          <w:rFonts w:cstheme="minorHAnsi"/>
        </w:rPr>
        <w:t xml:space="preserve"> EUR</w:t>
      </w:r>
      <w:r w:rsidRPr="00234419">
        <w:rPr>
          <w:rFonts w:cstheme="minorHAnsi"/>
        </w:rPr>
        <w:t>.</w:t>
      </w:r>
    </w:p>
    <w:p w14:paraId="39457501" w14:textId="4980F8F6" w:rsidR="00DA40BE" w:rsidRDefault="00234419" w:rsidP="00234419">
      <w:pPr>
        <w:spacing w:line="276" w:lineRule="auto"/>
        <w:jc w:val="both"/>
        <w:rPr>
          <w:rFonts w:cstheme="minorHAnsi"/>
        </w:rPr>
      </w:pPr>
      <w:r w:rsidRPr="00234419">
        <w:rPr>
          <w:rFonts w:cstheme="minorHAnsi"/>
        </w:rPr>
        <w:t>.</w:t>
      </w:r>
    </w:p>
    <w:p w14:paraId="47AE6151" w14:textId="6E4ACC68" w:rsidR="00B6054B" w:rsidRDefault="00076A01" w:rsidP="00076A01">
      <w:pPr>
        <w:pStyle w:val="ListParagraph"/>
        <w:numPr>
          <w:ilvl w:val="1"/>
          <w:numId w:val="1"/>
        </w:num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Preneseni </w:t>
      </w:r>
      <w:r w:rsidR="00B6054B" w:rsidRPr="00076A01">
        <w:rPr>
          <w:rFonts w:cstheme="minorHAnsi"/>
          <w:b/>
          <w:bCs/>
        </w:rPr>
        <w:t>višak/manjak  proračuna</w:t>
      </w:r>
    </w:p>
    <w:p w14:paraId="314607BF" w14:textId="1B553402" w:rsidR="006E52E4" w:rsidRPr="00A0618F" w:rsidRDefault="006E52E4" w:rsidP="00A0618F">
      <w:pPr>
        <w:autoSpaceDE w:val="0"/>
        <w:autoSpaceDN w:val="0"/>
        <w:adjustRightInd w:val="0"/>
        <w:jc w:val="both"/>
        <w:rPr>
          <w:i/>
          <w:iCs/>
        </w:rPr>
      </w:pPr>
      <w:r w:rsidRPr="000F79B4">
        <w:t>Višak prihoda iz 202</w:t>
      </w:r>
      <w:r w:rsidR="00A0618F">
        <w:t>5</w:t>
      </w:r>
      <w:r>
        <w:t>.</w:t>
      </w:r>
      <w:r w:rsidRPr="000F79B4">
        <w:t xml:space="preserve"> godine </w:t>
      </w:r>
      <w:r>
        <w:t>se odnosi na višak vlastitih prihoda, viška od pomoći te donacija, a manjak se odnosi na manjak prihoda iz Grada za financiranje poslovanja. Prikaz viška/manjka po izvorima financiranja prikazan je u tablici:</w:t>
      </w:r>
    </w:p>
    <w:p w14:paraId="66A40AE4" w14:textId="77777777" w:rsidR="006E52E4" w:rsidRPr="00A0618F" w:rsidRDefault="006E52E4" w:rsidP="00A0618F">
      <w:pPr>
        <w:spacing w:line="276" w:lineRule="auto"/>
        <w:jc w:val="both"/>
        <w:rPr>
          <w:rFonts w:cstheme="minorHAnsi"/>
          <w:b/>
          <w:bCs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742"/>
        <w:gridCol w:w="4751"/>
      </w:tblGrid>
      <w:tr w:rsidR="006E52E4" w:rsidRPr="00826415" w14:paraId="237B80AF" w14:textId="77777777" w:rsidTr="00221DE5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546A"/>
            <w:noWrap/>
            <w:vAlign w:val="bottom"/>
            <w:hideMark/>
          </w:tcPr>
          <w:p w14:paraId="3E42CB3C" w14:textId="07D65B88" w:rsidR="006E52E4" w:rsidRPr="00826415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FFFFFF"/>
                <w:lang w:eastAsia="hr-HR"/>
              </w:rPr>
              <w:t>OBRAČUN VIŠKA I MANJKA PO IZVORIMA ZA 202</w:t>
            </w:r>
            <w:r w:rsidR="00F21C52">
              <w:rPr>
                <w:rFonts w:ascii="Calibri" w:eastAsia="Times New Roman" w:hAnsi="Calibri" w:cs="Calibri"/>
                <w:color w:val="FFFFFF"/>
                <w:lang w:eastAsia="hr-HR"/>
              </w:rPr>
              <w:t>5</w:t>
            </w:r>
            <w:r w:rsidRPr="00826415">
              <w:rPr>
                <w:rFonts w:ascii="Calibri" w:eastAsia="Times New Roman" w:hAnsi="Calibri" w:cs="Calibri"/>
                <w:color w:val="FFFFFF"/>
                <w:lang w:eastAsia="hr-HR"/>
              </w:rPr>
              <w:t>.</w:t>
            </w:r>
          </w:p>
        </w:tc>
      </w:tr>
      <w:tr w:rsidR="006E52E4" w:rsidRPr="00826415" w14:paraId="1B47B960" w14:textId="77777777" w:rsidTr="00221DE5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0482C7" w14:textId="77777777" w:rsidR="006E52E4" w:rsidRPr="00826415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VIŠAK PRIHODA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19F7E4" w14:textId="77777777" w:rsidR="006E52E4" w:rsidRPr="00826415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E52E4" w:rsidRPr="00826415" w14:paraId="553840E8" w14:textId="77777777" w:rsidTr="00221DE5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5FA8" w14:textId="77777777" w:rsidR="006E52E4" w:rsidRPr="00826415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VL. PRIHOD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8A51" w14:textId="348FE28E" w:rsidR="006E52E4" w:rsidRPr="00826415" w:rsidRDefault="002E74B6" w:rsidP="00221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33.137,59</w:t>
            </w:r>
          </w:p>
        </w:tc>
      </w:tr>
      <w:tr w:rsidR="006E52E4" w:rsidRPr="00826415" w14:paraId="1697A2F9" w14:textId="77777777" w:rsidTr="00221DE5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EB4E" w14:textId="77777777" w:rsidR="006E52E4" w:rsidRPr="00826415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POMOĆI - KINOPRIKAZIVAŠTVO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062C" w14:textId="0F4FAA86" w:rsidR="006E52E4" w:rsidRPr="00826415" w:rsidRDefault="00A20F6A" w:rsidP="00221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9.833,02</w:t>
            </w:r>
          </w:p>
        </w:tc>
      </w:tr>
      <w:tr w:rsidR="006E52E4" w:rsidRPr="00826415" w14:paraId="656E5B3C" w14:textId="77777777" w:rsidTr="00221DE5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EDE4" w14:textId="77777777" w:rsidR="006E52E4" w:rsidRPr="00826415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POM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ĆI - OBRAZOVANJE 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2FF2" w14:textId="56B432B9" w:rsidR="006E52E4" w:rsidRPr="00826415" w:rsidRDefault="00316728" w:rsidP="00221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35.695,77</w:t>
            </w:r>
          </w:p>
        </w:tc>
      </w:tr>
      <w:tr w:rsidR="006E52E4" w:rsidRPr="00826415" w14:paraId="4D106E1E" w14:textId="77777777" w:rsidTr="00221DE5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049B" w14:textId="77777777" w:rsidR="006E52E4" w:rsidRPr="00826415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DONACIJA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9928" w14:textId="35C76BD1" w:rsidR="006E52E4" w:rsidRPr="00826415" w:rsidRDefault="0054754C" w:rsidP="00221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18.265,87</w:t>
            </w:r>
          </w:p>
        </w:tc>
      </w:tr>
      <w:tr w:rsidR="006E52E4" w:rsidRPr="00826415" w14:paraId="6739B87B" w14:textId="77777777" w:rsidTr="00221DE5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D65E5" w14:textId="70541399" w:rsidR="006E52E4" w:rsidRPr="00826415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POMOĆI – ER</w:t>
            </w:r>
            <w:r w:rsidR="001B7D04"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SMUS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AB25F" w14:textId="5135FFFC" w:rsidR="006E52E4" w:rsidRPr="00826415" w:rsidRDefault="0054754C" w:rsidP="00221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2.618,07</w:t>
            </w:r>
          </w:p>
        </w:tc>
      </w:tr>
      <w:tr w:rsidR="006E52E4" w:rsidRPr="00826415" w14:paraId="57FF20D1" w14:textId="77777777" w:rsidTr="00221DE5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386F" w14:textId="77777777" w:rsidR="006E52E4" w:rsidRPr="009D2623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26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VIŠAK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AF26" w14:textId="1DD40BAD" w:rsidR="006E52E4" w:rsidRPr="009D2623" w:rsidRDefault="006F6AA1" w:rsidP="00221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99.550,32</w:t>
            </w:r>
          </w:p>
        </w:tc>
      </w:tr>
      <w:tr w:rsidR="006E52E4" w:rsidRPr="00826415" w14:paraId="3BBDD2DA" w14:textId="77777777" w:rsidTr="00221DE5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9ACDDC" w14:textId="77777777" w:rsidR="006E52E4" w:rsidRPr="00826415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MANJAK PRIHODA 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D86C41" w14:textId="77777777" w:rsidR="006E52E4" w:rsidRPr="00826415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E52E4" w:rsidRPr="00826415" w14:paraId="6C4E7B51" w14:textId="77777777" w:rsidTr="00221DE5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DBD8" w14:textId="77777777" w:rsidR="006E52E4" w:rsidRPr="00826415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415">
              <w:rPr>
                <w:rFonts w:ascii="Calibri" w:eastAsia="Times New Roman" w:hAnsi="Calibri" w:cs="Calibri"/>
                <w:color w:val="000000"/>
                <w:lang w:eastAsia="hr-HR"/>
              </w:rPr>
              <w:t>OPĆI PRIHODI I PRIMICI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E7D3" w14:textId="09EDA1EE" w:rsidR="006E52E4" w:rsidRPr="00826415" w:rsidRDefault="006E52E4" w:rsidP="00221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="00DB76D6">
              <w:rPr>
                <w:rFonts w:ascii="Calibri" w:eastAsia="Times New Roman" w:hAnsi="Calibri" w:cs="Calibri"/>
                <w:color w:val="000000"/>
                <w:lang w:eastAsia="hr-HR"/>
              </w:rPr>
              <w:t>66.290,42</w:t>
            </w:r>
          </w:p>
        </w:tc>
      </w:tr>
      <w:tr w:rsidR="006E52E4" w:rsidRPr="00826415" w14:paraId="215E874E" w14:textId="77777777" w:rsidTr="00221DE5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C166" w14:textId="77777777" w:rsidR="006E52E4" w:rsidRPr="009D2623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26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19FA" w14:textId="57F4F364" w:rsidR="006E52E4" w:rsidRPr="009D2623" w:rsidRDefault="006E52E4" w:rsidP="00221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D262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</w:t>
            </w:r>
            <w:r w:rsidR="00DB76D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66.290,42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</w:p>
        </w:tc>
      </w:tr>
      <w:tr w:rsidR="006E52E4" w:rsidRPr="00826415" w14:paraId="3B94EAF2" w14:textId="77777777" w:rsidTr="00221DE5">
        <w:trPr>
          <w:trHeight w:val="30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42797C00" w14:textId="77777777" w:rsidR="006E52E4" w:rsidRPr="00E25693" w:rsidRDefault="006E52E4" w:rsidP="002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E25693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UKUPNO VIŠAK /MANJAK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bottom"/>
            <w:hideMark/>
          </w:tcPr>
          <w:p w14:paraId="4996DC79" w14:textId="34C8E203" w:rsidR="006E52E4" w:rsidRPr="00E25693" w:rsidRDefault="00DB76D6" w:rsidP="00221D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33.259,90</w:t>
            </w:r>
          </w:p>
        </w:tc>
      </w:tr>
    </w:tbl>
    <w:p w14:paraId="7BD663A5" w14:textId="77777777" w:rsidR="00B6054B" w:rsidRDefault="00B6054B" w:rsidP="00B6054B">
      <w:pPr>
        <w:spacing w:line="276" w:lineRule="auto"/>
        <w:jc w:val="both"/>
        <w:rPr>
          <w:rFonts w:cstheme="minorHAnsi"/>
          <w:b/>
          <w:bCs/>
        </w:rPr>
      </w:pPr>
    </w:p>
    <w:p w14:paraId="53E4CBF5" w14:textId="357B067B" w:rsidR="00095D2F" w:rsidRPr="00095D2F" w:rsidRDefault="00095D2F" w:rsidP="00095D2F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 w:rsidRPr="00095D2F">
        <w:rPr>
          <w:rFonts w:cstheme="minorHAnsi"/>
          <w:b/>
          <w:bCs/>
        </w:rPr>
        <w:t xml:space="preserve">STANJE NOVČANIH SREDSTAVA </w:t>
      </w:r>
    </w:p>
    <w:p w14:paraId="3A0F0389" w14:textId="77777777" w:rsidR="00163F5A" w:rsidRPr="005130BF" w:rsidRDefault="00163F5A" w:rsidP="00163F5A">
      <w:pPr>
        <w:spacing w:line="276" w:lineRule="auto"/>
        <w:jc w:val="both"/>
        <w:rPr>
          <w:rFonts w:cstheme="minorHAnsi"/>
        </w:rPr>
      </w:pPr>
      <w:r w:rsidRPr="005130BF">
        <w:rPr>
          <w:rFonts w:cstheme="minorHAnsi"/>
        </w:rPr>
        <w:t xml:space="preserve">Stanje novčanih sredstava na žiro računu otvorenom kod </w:t>
      </w:r>
      <w:proofErr w:type="spellStart"/>
      <w:r w:rsidRPr="005130BF">
        <w:rPr>
          <w:rFonts w:cstheme="minorHAnsi"/>
        </w:rPr>
        <w:t>Erste&amp;Steiermarkische</w:t>
      </w:r>
      <w:proofErr w:type="spellEnd"/>
      <w:r w:rsidRPr="005130BF">
        <w:rPr>
          <w:rFonts w:cstheme="minorHAnsi"/>
        </w:rPr>
        <w:t xml:space="preserve"> </w:t>
      </w:r>
      <w:proofErr w:type="spellStart"/>
      <w:r w:rsidRPr="005130BF">
        <w:rPr>
          <w:rFonts w:cstheme="minorHAnsi"/>
        </w:rPr>
        <w:t>bank</w:t>
      </w:r>
      <w:proofErr w:type="spellEnd"/>
      <w:r w:rsidRPr="005130BF">
        <w:rPr>
          <w:rFonts w:cstheme="minorHAnsi"/>
        </w:rPr>
        <w:t xml:space="preserve"> na dan 3</w:t>
      </w:r>
      <w:r>
        <w:rPr>
          <w:rFonts w:cstheme="minorHAnsi"/>
        </w:rPr>
        <w:t>1.12.2025. iznosi 1.469,24 EUR</w:t>
      </w:r>
      <w:r w:rsidRPr="005130BF">
        <w:rPr>
          <w:rFonts w:cstheme="minorHAnsi"/>
        </w:rPr>
        <w:t>. Početno stanje na dan 01.01.202</w:t>
      </w:r>
      <w:r>
        <w:rPr>
          <w:rFonts w:cstheme="minorHAnsi"/>
        </w:rPr>
        <w:t xml:space="preserve">5. </w:t>
      </w:r>
      <w:r w:rsidRPr="005130BF">
        <w:rPr>
          <w:rFonts w:cstheme="minorHAnsi"/>
        </w:rPr>
        <w:t xml:space="preserve"> iznosilo je  </w:t>
      </w:r>
      <w:r>
        <w:rPr>
          <w:rFonts w:cstheme="minorHAnsi"/>
        </w:rPr>
        <w:t>4.133,51 EUR</w:t>
      </w:r>
    </w:p>
    <w:p w14:paraId="6D076B7E" w14:textId="77777777" w:rsidR="00163F5A" w:rsidRPr="005130BF" w:rsidRDefault="00163F5A" w:rsidP="00163F5A">
      <w:pPr>
        <w:spacing w:line="276" w:lineRule="auto"/>
        <w:jc w:val="both"/>
        <w:rPr>
          <w:rFonts w:cstheme="minorHAnsi"/>
        </w:rPr>
      </w:pPr>
      <w:r w:rsidRPr="005130BF">
        <w:rPr>
          <w:rFonts w:cstheme="minorHAnsi"/>
        </w:rPr>
        <w:t>Stanje novčanih sredstava u blagajni POU Samobor na dan 3</w:t>
      </w:r>
      <w:r>
        <w:rPr>
          <w:rFonts w:cstheme="minorHAnsi"/>
        </w:rPr>
        <w:t>1.12.2025. iznosi  360,00  EUR</w:t>
      </w:r>
      <w:r w:rsidRPr="005130BF">
        <w:rPr>
          <w:rFonts w:cstheme="minorHAnsi"/>
        </w:rPr>
        <w:t>, dok je početno stanje 01.01.202</w:t>
      </w:r>
      <w:r>
        <w:rPr>
          <w:rFonts w:cstheme="minorHAnsi"/>
        </w:rPr>
        <w:t xml:space="preserve">5 </w:t>
      </w:r>
      <w:r w:rsidRPr="005130BF">
        <w:rPr>
          <w:rFonts w:cstheme="minorHAnsi"/>
        </w:rPr>
        <w:t>. iznosilo</w:t>
      </w:r>
      <w:r>
        <w:rPr>
          <w:rFonts w:cstheme="minorHAnsi"/>
        </w:rPr>
        <w:t xml:space="preserve"> 360,00 EUR.</w:t>
      </w:r>
      <w:r w:rsidRPr="005130BF">
        <w:rPr>
          <w:rFonts w:cstheme="minorHAnsi"/>
        </w:rPr>
        <w:t xml:space="preserve"> </w:t>
      </w:r>
    </w:p>
    <w:p w14:paraId="0264C791" w14:textId="77777777" w:rsidR="00095D2F" w:rsidRDefault="00095D2F" w:rsidP="00B6054B">
      <w:pPr>
        <w:spacing w:line="276" w:lineRule="auto"/>
        <w:jc w:val="both"/>
        <w:rPr>
          <w:rFonts w:cstheme="minorHAnsi"/>
          <w:b/>
          <w:bCs/>
        </w:rPr>
      </w:pPr>
    </w:p>
    <w:p w14:paraId="60C84F94" w14:textId="77777777" w:rsidR="00BD6411" w:rsidRDefault="00BD6411" w:rsidP="00B6054B">
      <w:pPr>
        <w:spacing w:line="276" w:lineRule="auto"/>
        <w:jc w:val="both"/>
        <w:rPr>
          <w:rFonts w:cstheme="minorHAnsi"/>
          <w:b/>
          <w:bCs/>
        </w:rPr>
      </w:pPr>
    </w:p>
    <w:p w14:paraId="7D1E5FD8" w14:textId="77777777" w:rsidR="00BD6411" w:rsidRDefault="00BD6411" w:rsidP="00B6054B">
      <w:pPr>
        <w:spacing w:line="276" w:lineRule="auto"/>
        <w:jc w:val="both"/>
        <w:rPr>
          <w:rFonts w:cstheme="minorHAnsi"/>
          <w:b/>
          <w:bCs/>
        </w:rPr>
      </w:pPr>
    </w:p>
    <w:p w14:paraId="4057D7D1" w14:textId="77777777" w:rsidR="00BD6411" w:rsidRDefault="00BD6411" w:rsidP="00B6054B">
      <w:pPr>
        <w:spacing w:line="276" w:lineRule="auto"/>
        <w:jc w:val="both"/>
        <w:rPr>
          <w:rFonts w:cstheme="minorHAnsi"/>
          <w:b/>
          <w:bCs/>
        </w:rPr>
      </w:pPr>
    </w:p>
    <w:p w14:paraId="521F29CB" w14:textId="77777777" w:rsidR="00BD6411" w:rsidRDefault="00BD6411" w:rsidP="00B6054B">
      <w:pPr>
        <w:spacing w:line="276" w:lineRule="auto"/>
        <w:jc w:val="both"/>
        <w:rPr>
          <w:rFonts w:cstheme="minorHAnsi"/>
          <w:b/>
          <w:bCs/>
        </w:rPr>
      </w:pPr>
    </w:p>
    <w:p w14:paraId="7B95CE7A" w14:textId="77777777" w:rsidR="00BD6411" w:rsidRDefault="00BD6411" w:rsidP="00B6054B">
      <w:pPr>
        <w:spacing w:line="276" w:lineRule="auto"/>
        <w:jc w:val="both"/>
        <w:rPr>
          <w:rFonts w:cstheme="minorHAnsi"/>
          <w:b/>
          <w:bCs/>
        </w:rPr>
      </w:pPr>
    </w:p>
    <w:p w14:paraId="6BFD025B" w14:textId="77777777" w:rsidR="00BD6411" w:rsidRDefault="00BD6411" w:rsidP="00B6054B">
      <w:pPr>
        <w:spacing w:line="276" w:lineRule="auto"/>
        <w:jc w:val="both"/>
        <w:rPr>
          <w:rFonts w:cstheme="minorHAnsi"/>
          <w:b/>
          <w:bCs/>
        </w:rPr>
      </w:pPr>
    </w:p>
    <w:p w14:paraId="66FFEF30" w14:textId="77777777" w:rsidR="00BD6411" w:rsidRPr="005C587F" w:rsidRDefault="00BD6411" w:rsidP="00BD6411">
      <w:pPr>
        <w:rPr>
          <w:b/>
          <w:bCs/>
        </w:rPr>
      </w:pPr>
      <w:r>
        <w:rPr>
          <w:b/>
          <w:bCs/>
        </w:rPr>
        <w:lastRenderedPageBreak/>
        <w:t xml:space="preserve">4. </w:t>
      </w:r>
      <w:r w:rsidRPr="005C587F">
        <w:rPr>
          <w:b/>
          <w:bCs/>
        </w:rPr>
        <w:t>POSEBNI IZVJEŠTAJI O IZVRŠENJU FINANCIJSKOG PLANA ZA RAZDOBLJE OD I-XII. 202</w:t>
      </w:r>
      <w:r>
        <w:rPr>
          <w:b/>
          <w:bCs/>
        </w:rPr>
        <w:t>5</w:t>
      </w:r>
      <w:r w:rsidRPr="005C587F">
        <w:rPr>
          <w:b/>
          <w:bCs/>
        </w:rPr>
        <w:t>.</w:t>
      </w:r>
    </w:p>
    <w:p w14:paraId="0387E33A" w14:textId="77777777" w:rsidR="00BD6411" w:rsidRDefault="00BD6411" w:rsidP="00BD6411"/>
    <w:p w14:paraId="0F24D2EF" w14:textId="77777777" w:rsidR="00BD6411" w:rsidRPr="00196543" w:rsidRDefault="00BD6411" w:rsidP="00BD6411">
      <w:pPr>
        <w:rPr>
          <w:b/>
          <w:bCs/>
        </w:rPr>
      </w:pPr>
      <w:r>
        <w:rPr>
          <w:b/>
          <w:bCs/>
        </w:rPr>
        <w:t xml:space="preserve">4.1. </w:t>
      </w:r>
      <w:r w:rsidRPr="00196543">
        <w:rPr>
          <w:b/>
          <w:bCs/>
        </w:rPr>
        <w:t>IZVJEŠTAJ O ZADUŽIVANJU NA DOMAĆEM I STRANOM  TRŽIŠTU NOVCA I KAPITALA</w:t>
      </w:r>
    </w:p>
    <w:p w14:paraId="12BCCA68" w14:textId="77777777" w:rsidR="00BD6411" w:rsidRDefault="00BD6411" w:rsidP="00BD6411">
      <w:pPr>
        <w:jc w:val="both"/>
      </w:pPr>
      <w:r>
        <w:t>U izvještajnom razdoblju od I-XII. 2025., kao niti prethodnih godina,  POU Samobor nije se zaduživao na domaćem i stranom tržištu novca i kapitala</w:t>
      </w:r>
    </w:p>
    <w:p w14:paraId="6FADB85E" w14:textId="77777777" w:rsidR="00BD6411" w:rsidRDefault="00BD6411" w:rsidP="00BD6411">
      <w:pPr>
        <w:jc w:val="both"/>
      </w:pPr>
    </w:p>
    <w:p w14:paraId="7686DE03" w14:textId="77777777" w:rsidR="00BD6411" w:rsidRPr="00196543" w:rsidRDefault="00BD6411" w:rsidP="00BD6411">
      <w:pPr>
        <w:jc w:val="both"/>
        <w:rPr>
          <w:b/>
          <w:bCs/>
        </w:rPr>
      </w:pPr>
      <w:r w:rsidRPr="00196543">
        <w:rPr>
          <w:b/>
          <w:bCs/>
        </w:rPr>
        <w:t>4.2. IZVJEŠTAJ O KORIŠTENJU SREDSTAVA FONFOVA EUROPSKE UNIJE</w:t>
      </w:r>
    </w:p>
    <w:tbl>
      <w:tblPr>
        <w:tblW w:w="10127" w:type="dxa"/>
        <w:tblLook w:val="04A0" w:firstRow="1" w:lastRow="0" w:firstColumn="1" w:lastColumn="0" w:noHBand="0" w:noVBand="1"/>
      </w:tblPr>
      <w:tblGrid>
        <w:gridCol w:w="1067"/>
        <w:gridCol w:w="760"/>
        <w:gridCol w:w="1257"/>
        <w:gridCol w:w="1052"/>
        <w:gridCol w:w="216"/>
        <w:gridCol w:w="1150"/>
        <w:gridCol w:w="814"/>
        <w:gridCol w:w="1184"/>
        <w:gridCol w:w="1431"/>
        <w:gridCol w:w="1196"/>
      </w:tblGrid>
      <w:tr w:rsidR="00BD6411" w:rsidRPr="00196543" w14:paraId="32F0D752" w14:textId="77777777" w:rsidTr="00172458">
        <w:trPr>
          <w:trHeight w:val="780"/>
        </w:trPr>
        <w:tc>
          <w:tcPr>
            <w:tcW w:w="101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020A3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IZVJEŠTAJ O KORIŠTENJU SREDSTAVA FONDOVA EUROPSKE UNIJE </w:t>
            </w: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- PO FONDOVIMA EU*</w:t>
            </w: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(za razdoblje od 01.01.-31.12.2025.)</w:t>
            </w:r>
          </w:p>
        </w:tc>
      </w:tr>
      <w:tr w:rsidR="00BD6411" w:rsidRPr="00196543" w14:paraId="7F6DE376" w14:textId="77777777" w:rsidTr="00172458">
        <w:trPr>
          <w:trHeight w:val="288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30EA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6FD3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E44A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E7A3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42B1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3820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D6411" w:rsidRPr="00196543" w14:paraId="13D48FD6" w14:textId="77777777" w:rsidTr="00172458">
        <w:trPr>
          <w:trHeight w:val="792"/>
        </w:trPr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1CC8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E253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programa ili fonda </w:t>
            </w: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Europske unije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506F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I PRIMICI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9AB2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I IZDACI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9FD6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OBVEZA PO SREDSTVIMA IZ FONDOVA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DAA4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POTRAŽIVANJA PO SREDSTVIMA IZ FONDOVA</w:t>
            </w:r>
          </w:p>
        </w:tc>
      </w:tr>
      <w:tr w:rsidR="00BD6411" w:rsidRPr="00196543" w14:paraId="7356C62D" w14:textId="77777777" w:rsidTr="00172458">
        <w:trPr>
          <w:trHeight w:val="288"/>
        </w:trPr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B871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ADA1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C685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za 2025.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854E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za 2025.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C287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 dan 31.12.2025.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6991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 dan 31.12.2025.</w:t>
            </w:r>
          </w:p>
        </w:tc>
      </w:tr>
      <w:tr w:rsidR="00BD6411" w:rsidRPr="00196543" w14:paraId="4F0C8C25" w14:textId="77777777" w:rsidTr="00172458">
        <w:trPr>
          <w:trHeight w:val="288"/>
        </w:trPr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98C4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911D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Erasmus +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CD52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45.988,00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76B7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15.146,49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1F99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22.124,00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179C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3.368,00 </w:t>
            </w:r>
          </w:p>
        </w:tc>
      </w:tr>
      <w:tr w:rsidR="00BD6411" w:rsidRPr="00196543" w14:paraId="3F8728DC" w14:textId="77777777" w:rsidTr="00172458">
        <w:trPr>
          <w:trHeight w:val="288"/>
        </w:trPr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446E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365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55CF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EA99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C7EC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887F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BD6411" w:rsidRPr="00196543" w14:paraId="3DCCD4E7" w14:textId="77777777" w:rsidTr="00172458">
        <w:trPr>
          <w:trHeight w:val="300"/>
        </w:trPr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F3746A8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2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69E607D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4E883DC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71770B5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4B84CE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1329D63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BD6411" w:rsidRPr="00196543" w14:paraId="78767575" w14:textId="77777777" w:rsidTr="00172458">
        <w:trPr>
          <w:trHeight w:val="300"/>
        </w:trPr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7828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995A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1798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45.988,00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EC78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15.146,49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B805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22.124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7E8C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3.368</w:t>
            </w:r>
          </w:p>
        </w:tc>
      </w:tr>
      <w:tr w:rsidR="00BD6411" w:rsidRPr="00196543" w14:paraId="6F807EBB" w14:textId="77777777" w:rsidTr="00172458">
        <w:trPr>
          <w:trHeight w:val="288"/>
        </w:trPr>
        <w:tc>
          <w:tcPr>
            <w:tcW w:w="1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4F6F9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METODOLOGIJA: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96D5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4444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CB35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764F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AE88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D6411" w:rsidRPr="00196543" w14:paraId="6984C597" w14:textId="77777777" w:rsidTr="00172458">
        <w:trPr>
          <w:trHeight w:val="288"/>
        </w:trPr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AB848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prihodi su iskazani u razdoblju kad su naplaćeni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6ECE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CE11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5E7C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7BB6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D6411" w:rsidRPr="00196543" w14:paraId="0A197ADE" w14:textId="77777777" w:rsidTr="00172458">
        <w:trPr>
          <w:trHeight w:val="288"/>
        </w:trPr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D0ED8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rashodi su iskazani u razdoblju kad su nastali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37E8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850B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AE98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CE85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D6411" w:rsidRPr="00196543" w14:paraId="7801580D" w14:textId="77777777" w:rsidTr="00172458">
        <w:trPr>
          <w:trHeight w:val="288"/>
        </w:trPr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531E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6FC8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02E1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468F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A719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7168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D6411" w:rsidRPr="00196543" w14:paraId="0767EE39" w14:textId="77777777" w:rsidTr="00172458">
        <w:trPr>
          <w:trHeight w:val="288"/>
        </w:trPr>
        <w:tc>
          <w:tcPr>
            <w:tcW w:w="10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BF08B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D6411" w:rsidRPr="00196543" w14:paraId="38014D38" w14:textId="77777777" w:rsidTr="00172458">
        <w:trPr>
          <w:gridAfter w:val="1"/>
          <w:wAfter w:w="1196" w:type="dxa"/>
          <w:trHeight w:val="885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ABF7F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IZVJEŠTAJ O KORIŠTENJU SREDSTAVA FONDOVA EUROPSKE UNIJE</w:t>
            </w: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- PO PROJEKTIMA U TIJEKU*</w:t>
            </w: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(za razdoblje od početka provedbe projekta do 31. prosinca 2025. godine)</w:t>
            </w:r>
          </w:p>
        </w:tc>
      </w:tr>
      <w:tr w:rsidR="00BD6411" w:rsidRPr="00196543" w14:paraId="1D12E7E7" w14:textId="77777777" w:rsidTr="00172458">
        <w:trPr>
          <w:gridAfter w:val="1"/>
          <w:wAfter w:w="1196" w:type="dxa"/>
          <w:trHeight w:val="28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2E45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C722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5AC9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BF8A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D6411" w:rsidRPr="00196543" w14:paraId="024BA284" w14:textId="77777777" w:rsidTr="00172458">
        <w:trPr>
          <w:gridAfter w:val="1"/>
          <w:wAfter w:w="1196" w:type="dxa"/>
          <w:trHeight w:val="528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496E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3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E9DD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projekta u tijeku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8225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UGOVORENA SREDSTVA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D4DB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UPLAĆENA SREDSTVA</w:t>
            </w:r>
          </w:p>
        </w:tc>
      </w:tr>
      <w:tr w:rsidR="00BD6411" w:rsidRPr="00196543" w14:paraId="494C46F6" w14:textId="77777777" w:rsidTr="00172458">
        <w:trPr>
          <w:gridAfter w:val="1"/>
          <w:wAfter w:w="1196" w:type="dxa"/>
          <w:trHeight w:val="792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43F9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6CC5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8CB9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 početka provedbe projekta zaključno s 31.12.2025.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4FCD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 početka provedbe projekta zaključno s 31.12.2025.</w:t>
            </w:r>
          </w:p>
        </w:tc>
      </w:tr>
      <w:tr w:rsidR="00BD6411" w:rsidRPr="00196543" w14:paraId="610E5FC0" w14:textId="77777777" w:rsidTr="00172458">
        <w:trPr>
          <w:gridAfter w:val="1"/>
          <w:wAfter w:w="1196" w:type="dxa"/>
          <w:trHeight w:val="288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1CE4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2247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SM - Dvorac Livadić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FAA1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748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D6411" w:rsidRPr="00196543" w14:paraId="7EC9CF17" w14:textId="77777777" w:rsidTr="00172458">
        <w:trPr>
          <w:gridAfter w:val="1"/>
          <w:wAfter w:w="1196" w:type="dxa"/>
          <w:trHeight w:val="288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243C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09AE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SM - Etno kuća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4A07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C503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D6411" w:rsidRPr="00196543" w14:paraId="43E572DE" w14:textId="77777777" w:rsidTr="00172458">
        <w:trPr>
          <w:gridAfter w:val="1"/>
          <w:wAfter w:w="1196" w:type="dxa"/>
          <w:trHeight w:val="288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9EBE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9C63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POU - Erasmus+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791B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108.444,00   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ACF1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95.464,00   </w:t>
            </w:r>
          </w:p>
        </w:tc>
      </w:tr>
      <w:tr w:rsidR="00BD6411" w:rsidRPr="00196543" w14:paraId="10B1643E" w14:textId="77777777" w:rsidTr="00172458">
        <w:trPr>
          <w:gridAfter w:val="1"/>
          <w:wAfter w:w="1196" w:type="dxa"/>
          <w:trHeight w:val="288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75E8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1528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OŠ Bogumila Tonija - Erasmus+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6B23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DBC2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D6411" w:rsidRPr="00196543" w14:paraId="716802FA" w14:textId="77777777" w:rsidTr="00172458">
        <w:trPr>
          <w:gridAfter w:val="1"/>
          <w:wAfter w:w="1196" w:type="dxa"/>
          <w:trHeight w:val="288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BEF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C625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OŠ Mihaela </w:t>
            </w:r>
            <w:proofErr w:type="spellStart"/>
            <w:r w:rsidRPr="001965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Šiloboda</w:t>
            </w:r>
            <w:proofErr w:type="spellEnd"/>
            <w:r w:rsidRPr="001965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Erasmus+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6DBB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8390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D6411" w:rsidRPr="00196543" w14:paraId="75AA1A06" w14:textId="77777777" w:rsidTr="00172458">
        <w:trPr>
          <w:gridAfter w:val="1"/>
          <w:wAfter w:w="1196" w:type="dxa"/>
          <w:trHeight w:val="288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1E97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64BE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OŠ Samobor - Erasmus+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975B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38BB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D6411" w:rsidRPr="00196543" w14:paraId="38318DA8" w14:textId="77777777" w:rsidTr="00172458">
        <w:trPr>
          <w:gridAfter w:val="1"/>
          <w:wAfter w:w="1196" w:type="dxa"/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9B54BF2" w14:textId="77777777" w:rsidR="00BD6411" w:rsidRPr="00196543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B2F4ED1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OŠ Milana Langa - Erasmus+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0EF81D7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F54EDBF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D6411" w:rsidRPr="00196543" w14:paraId="27B11269" w14:textId="77777777" w:rsidTr="00172458">
        <w:trPr>
          <w:gridAfter w:val="1"/>
          <w:wAfter w:w="1196" w:type="dxa"/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34A1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F316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4A5E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108.444,00   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B48B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9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95.464,00   </w:t>
            </w:r>
          </w:p>
        </w:tc>
      </w:tr>
      <w:tr w:rsidR="00BD6411" w:rsidRPr="00196543" w14:paraId="3A9B5987" w14:textId="77777777" w:rsidTr="00172458">
        <w:trPr>
          <w:gridAfter w:val="1"/>
          <w:wAfter w:w="1196" w:type="dxa"/>
          <w:trHeight w:val="26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C1EC9" w14:textId="77777777" w:rsidR="00BD6411" w:rsidRPr="00196543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DA4B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177C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B847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D6411" w:rsidRPr="00196543" w14:paraId="7C2EE561" w14:textId="77777777" w:rsidTr="00172458">
        <w:trPr>
          <w:gridAfter w:val="1"/>
          <w:wAfter w:w="1196" w:type="dxa"/>
          <w:trHeight w:val="264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672CC" w14:textId="77777777" w:rsidR="00BD6411" w:rsidRPr="00196543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E22C262" w14:textId="77777777" w:rsidR="00BD6411" w:rsidRPr="00196543" w:rsidRDefault="00BD6411" w:rsidP="00BD6411">
      <w:pPr>
        <w:rPr>
          <w:b/>
          <w:bCs/>
        </w:rPr>
      </w:pPr>
      <w:r>
        <w:rPr>
          <w:b/>
          <w:bCs/>
        </w:rPr>
        <w:t xml:space="preserve">4.3. </w:t>
      </w:r>
      <w:r w:rsidRPr="00196543">
        <w:rPr>
          <w:b/>
          <w:bCs/>
        </w:rPr>
        <w:t>IZVJEŠTAJ O DANIM ZAJMOVIMA I POTRAŽIVANJA PO DANIM ZAJMOVIMA</w:t>
      </w:r>
    </w:p>
    <w:p w14:paraId="06880518" w14:textId="77777777" w:rsidR="00BD6411" w:rsidRDefault="00BD6411" w:rsidP="00BD6411">
      <w:pPr>
        <w:jc w:val="both"/>
      </w:pPr>
      <w:r>
        <w:t>U izvještajnom razdoblju od I-XII.2025., kao niti prethodnih godina,  POU Samobor nije dao zajmove niti ima potraživanja po danim zajmovima.</w:t>
      </w:r>
    </w:p>
    <w:p w14:paraId="2B3814E1" w14:textId="77777777" w:rsidR="00BD6411" w:rsidRDefault="00BD6411" w:rsidP="00BD6411">
      <w:pPr>
        <w:jc w:val="both"/>
      </w:pPr>
    </w:p>
    <w:p w14:paraId="2185C731" w14:textId="77777777" w:rsidR="00BD6411" w:rsidRPr="00196543" w:rsidRDefault="00BD6411" w:rsidP="00BD6411">
      <w:pPr>
        <w:jc w:val="both"/>
        <w:rPr>
          <w:b/>
          <w:bCs/>
        </w:rPr>
      </w:pPr>
      <w:r>
        <w:rPr>
          <w:b/>
          <w:bCs/>
        </w:rPr>
        <w:t xml:space="preserve">4.4. </w:t>
      </w:r>
      <w:r w:rsidRPr="00196543">
        <w:rPr>
          <w:b/>
          <w:bCs/>
        </w:rPr>
        <w:t>IZVJEŠTAJ O STANJU POTRAŽIVANJA I DOSPJELIH OBVEZA TE O STANJU POTENCIJALNIH OBVEZA PO OSNOVI SUDSKIH SPOROVA</w:t>
      </w:r>
    </w:p>
    <w:p w14:paraId="24377945" w14:textId="77777777" w:rsidR="00BD6411" w:rsidRDefault="00BD6411" w:rsidP="00BD6411">
      <w:pPr>
        <w:jc w:val="both"/>
      </w:pPr>
      <w:r>
        <w:t>Stanje potraživanja i dospjelih obveza: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8020"/>
        <w:gridCol w:w="1840"/>
      </w:tblGrid>
      <w:tr w:rsidR="00BD6411" w:rsidRPr="003219EF" w14:paraId="3B64B1AE" w14:textId="77777777" w:rsidTr="00172458">
        <w:trPr>
          <w:trHeight w:val="390"/>
        </w:trPr>
        <w:tc>
          <w:tcPr>
            <w:tcW w:w="8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41711" w14:textId="77777777" w:rsidR="00BD6411" w:rsidRPr="003219EF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STANJE NA 31.12.2025.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5E090" w14:textId="77777777" w:rsidR="00BD6411" w:rsidRPr="003219EF" w:rsidRDefault="00BD6411" w:rsidP="0017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</w:t>
            </w:r>
          </w:p>
        </w:tc>
      </w:tr>
      <w:tr w:rsidR="00BD6411" w:rsidRPr="003219EF" w14:paraId="1911AD50" w14:textId="77777777" w:rsidTr="00172458">
        <w:trPr>
          <w:trHeight w:val="525"/>
        </w:trPr>
        <w:tc>
          <w:tcPr>
            <w:tcW w:w="8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14:paraId="210130FC" w14:textId="77777777" w:rsidR="00BD6411" w:rsidRPr="003219EF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STANJE NENAPLAĆENIH POTRAŽIVANJA ZA PRIHODE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5C1060B" w14:textId="77777777" w:rsidR="00BD6411" w:rsidRPr="003219EF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BD6411" w:rsidRPr="003219EF" w14:paraId="5BA09F5C" w14:textId="77777777" w:rsidTr="00172458">
        <w:trPr>
          <w:trHeight w:val="315"/>
        </w:trPr>
        <w:tc>
          <w:tcPr>
            <w:tcW w:w="8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29D51" w14:textId="77777777" w:rsidR="00BD6411" w:rsidRPr="003219EF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(A) ukupna potraživanja (16+17)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A22A9" w14:textId="77777777" w:rsidR="00BD6411" w:rsidRPr="003219EF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13.193,21</w:t>
            </w:r>
          </w:p>
        </w:tc>
      </w:tr>
      <w:tr w:rsidR="00BD6411" w:rsidRPr="003219EF" w14:paraId="64AE0AF4" w14:textId="77777777" w:rsidTr="00172458">
        <w:trPr>
          <w:trHeight w:val="315"/>
        </w:trPr>
        <w:tc>
          <w:tcPr>
            <w:tcW w:w="8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E70E7" w14:textId="77777777" w:rsidR="00BD6411" w:rsidRPr="003219EF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(B) ispravak vrijednosti potraživanja (169+179)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E17A7" w14:textId="77777777" w:rsidR="00BD6411" w:rsidRPr="003219EF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563,94</w:t>
            </w:r>
          </w:p>
        </w:tc>
      </w:tr>
      <w:tr w:rsidR="00BD6411" w:rsidRPr="003219EF" w14:paraId="370CF1BF" w14:textId="77777777" w:rsidTr="00172458">
        <w:trPr>
          <w:trHeight w:val="315"/>
        </w:trPr>
        <w:tc>
          <w:tcPr>
            <w:tcW w:w="8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70FB5" w14:textId="77777777" w:rsidR="00BD6411" w:rsidRPr="003219EF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(C) saldo potraživanja (A) - (B)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236CB" w14:textId="77777777" w:rsidR="00BD6411" w:rsidRPr="003219EF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12.629,27</w:t>
            </w:r>
          </w:p>
        </w:tc>
      </w:tr>
      <w:tr w:rsidR="00BD6411" w:rsidRPr="003219EF" w14:paraId="073413DB" w14:textId="77777777" w:rsidTr="00172458">
        <w:trPr>
          <w:trHeight w:val="570"/>
        </w:trPr>
        <w:tc>
          <w:tcPr>
            <w:tcW w:w="8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06A30ABA" w14:textId="77777777" w:rsidR="00BD6411" w:rsidRPr="003219EF" w:rsidRDefault="00BD6411" w:rsidP="00172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STANJE NEPODMIRENIH DOSPJELIH OBVEZA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37DF28FC" w14:textId="77777777" w:rsidR="00BD6411" w:rsidRPr="003219EF" w:rsidRDefault="00BD6411" w:rsidP="001724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219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1.210,33</w:t>
            </w:r>
          </w:p>
        </w:tc>
      </w:tr>
    </w:tbl>
    <w:p w14:paraId="73EA76E5" w14:textId="77777777" w:rsidR="00BD6411" w:rsidRDefault="00BD6411" w:rsidP="00BD6411">
      <w:pPr>
        <w:jc w:val="both"/>
      </w:pPr>
    </w:p>
    <w:p w14:paraId="04E03431" w14:textId="77777777" w:rsidR="00BD6411" w:rsidRDefault="00BD6411" w:rsidP="00BD6411">
      <w:pPr>
        <w:jc w:val="both"/>
      </w:pPr>
      <w:r>
        <w:t>Stanje potencijalnih obveza po osnovi sudskih sporova: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9"/>
        <w:gridCol w:w="967"/>
        <w:gridCol w:w="856"/>
        <w:gridCol w:w="993"/>
        <w:gridCol w:w="1335"/>
        <w:gridCol w:w="1182"/>
        <w:gridCol w:w="1299"/>
        <w:gridCol w:w="1341"/>
      </w:tblGrid>
      <w:tr w:rsidR="00BD6411" w:rsidRPr="00D3562B" w14:paraId="13CFAD0D" w14:textId="77777777" w:rsidTr="00172458">
        <w:trPr>
          <w:trHeight w:val="330"/>
        </w:trPr>
        <w:tc>
          <w:tcPr>
            <w:tcW w:w="9062" w:type="dxa"/>
            <w:gridSpan w:val="8"/>
            <w:hideMark/>
          </w:tcPr>
          <w:p w14:paraId="283EFF2A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PREGLED SUDSKIH SPOROVA (naziv PK) U TIJEKU NA DAN 31.12.2025.</w:t>
            </w:r>
          </w:p>
        </w:tc>
      </w:tr>
      <w:tr w:rsidR="00BD6411" w:rsidRPr="00D3562B" w14:paraId="75CF8833" w14:textId="77777777" w:rsidTr="00172458">
        <w:trPr>
          <w:trHeight w:val="780"/>
        </w:trPr>
        <w:tc>
          <w:tcPr>
            <w:tcW w:w="1089" w:type="dxa"/>
            <w:hideMark/>
          </w:tcPr>
          <w:p w14:paraId="212E8771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Br. predmeta</w:t>
            </w:r>
          </w:p>
        </w:tc>
        <w:tc>
          <w:tcPr>
            <w:tcW w:w="967" w:type="dxa"/>
            <w:hideMark/>
          </w:tcPr>
          <w:p w14:paraId="110ECAFA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Sud</w:t>
            </w:r>
          </w:p>
        </w:tc>
        <w:tc>
          <w:tcPr>
            <w:tcW w:w="856" w:type="dxa"/>
            <w:hideMark/>
          </w:tcPr>
          <w:p w14:paraId="7F8D92E3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Tužitelj</w:t>
            </w:r>
          </w:p>
        </w:tc>
        <w:tc>
          <w:tcPr>
            <w:tcW w:w="993" w:type="dxa"/>
            <w:hideMark/>
          </w:tcPr>
          <w:p w14:paraId="754905E6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Tuženik</w:t>
            </w:r>
          </w:p>
        </w:tc>
        <w:tc>
          <w:tcPr>
            <w:tcW w:w="1335" w:type="dxa"/>
            <w:hideMark/>
          </w:tcPr>
          <w:p w14:paraId="0D743714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Sažeti opis prirode spora</w:t>
            </w:r>
          </w:p>
        </w:tc>
        <w:tc>
          <w:tcPr>
            <w:tcW w:w="1182" w:type="dxa"/>
            <w:hideMark/>
          </w:tcPr>
          <w:p w14:paraId="3E71AABF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VPS</w:t>
            </w:r>
          </w:p>
        </w:tc>
        <w:tc>
          <w:tcPr>
            <w:tcW w:w="1299" w:type="dxa"/>
            <w:hideMark/>
          </w:tcPr>
          <w:p w14:paraId="29B028DF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Procjena financijskog učinka</w:t>
            </w:r>
          </w:p>
        </w:tc>
        <w:tc>
          <w:tcPr>
            <w:tcW w:w="1341" w:type="dxa"/>
            <w:hideMark/>
          </w:tcPr>
          <w:p w14:paraId="661CB16D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Procijenjeno vrijeme odljeva ili priljeva sredstava za</w:t>
            </w:r>
          </w:p>
        </w:tc>
      </w:tr>
      <w:tr w:rsidR="00BD6411" w:rsidRPr="00D3562B" w14:paraId="045F426E" w14:textId="77777777" w:rsidTr="00172458">
        <w:trPr>
          <w:trHeight w:val="315"/>
        </w:trPr>
        <w:tc>
          <w:tcPr>
            <w:tcW w:w="2912" w:type="dxa"/>
            <w:gridSpan w:val="3"/>
            <w:hideMark/>
          </w:tcPr>
          <w:p w14:paraId="35A8F20E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PREDMETI KOD ODVJETNIKA</w:t>
            </w:r>
          </w:p>
        </w:tc>
        <w:tc>
          <w:tcPr>
            <w:tcW w:w="993" w:type="dxa"/>
            <w:hideMark/>
          </w:tcPr>
          <w:p w14:paraId="2D5AE1B9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 </w:t>
            </w:r>
          </w:p>
        </w:tc>
        <w:tc>
          <w:tcPr>
            <w:tcW w:w="1335" w:type="dxa"/>
            <w:hideMark/>
          </w:tcPr>
          <w:p w14:paraId="1292397F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 </w:t>
            </w:r>
          </w:p>
        </w:tc>
        <w:tc>
          <w:tcPr>
            <w:tcW w:w="1182" w:type="dxa"/>
            <w:hideMark/>
          </w:tcPr>
          <w:p w14:paraId="0EB474F6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 </w:t>
            </w:r>
          </w:p>
        </w:tc>
        <w:tc>
          <w:tcPr>
            <w:tcW w:w="1299" w:type="dxa"/>
            <w:hideMark/>
          </w:tcPr>
          <w:p w14:paraId="3BF7C135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 </w:t>
            </w:r>
          </w:p>
        </w:tc>
        <w:tc>
          <w:tcPr>
            <w:tcW w:w="1341" w:type="dxa"/>
            <w:hideMark/>
          </w:tcPr>
          <w:p w14:paraId="2ABBDECE" w14:textId="77777777" w:rsidR="00BD6411" w:rsidRPr="00D3562B" w:rsidRDefault="00BD6411" w:rsidP="00172458">
            <w:pPr>
              <w:jc w:val="both"/>
              <w:rPr>
                <w:b/>
                <w:bCs/>
              </w:rPr>
            </w:pPr>
            <w:r w:rsidRPr="00D3562B">
              <w:rPr>
                <w:b/>
                <w:bCs/>
              </w:rPr>
              <w:t> </w:t>
            </w:r>
          </w:p>
        </w:tc>
      </w:tr>
      <w:tr w:rsidR="00BD6411" w:rsidRPr="00D3562B" w14:paraId="3A6527EB" w14:textId="77777777" w:rsidTr="00172458">
        <w:trPr>
          <w:trHeight w:val="1290"/>
        </w:trPr>
        <w:tc>
          <w:tcPr>
            <w:tcW w:w="1089" w:type="dxa"/>
            <w:hideMark/>
          </w:tcPr>
          <w:p w14:paraId="55843546" w14:textId="77777777" w:rsidR="00BD6411" w:rsidRPr="00D3562B" w:rsidRDefault="00BD6411" w:rsidP="00172458">
            <w:pPr>
              <w:jc w:val="both"/>
            </w:pPr>
            <w:r w:rsidRPr="00D3562B">
              <w:t>PR 78/2015</w:t>
            </w:r>
          </w:p>
        </w:tc>
        <w:tc>
          <w:tcPr>
            <w:tcW w:w="967" w:type="dxa"/>
            <w:hideMark/>
          </w:tcPr>
          <w:p w14:paraId="4BFCAAED" w14:textId="77777777" w:rsidR="00BD6411" w:rsidRPr="00D3562B" w:rsidRDefault="00BD6411" w:rsidP="00172458">
            <w:pPr>
              <w:jc w:val="both"/>
            </w:pPr>
            <w:r w:rsidRPr="00D3562B">
              <w:t>Općinski sud u Novom Zagrebu</w:t>
            </w:r>
          </w:p>
        </w:tc>
        <w:tc>
          <w:tcPr>
            <w:tcW w:w="856" w:type="dxa"/>
            <w:hideMark/>
          </w:tcPr>
          <w:p w14:paraId="37362089" w14:textId="77777777" w:rsidR="00BD6411" w:rsidRPr="00D3562B" w:rsidRDefault="00BD6411" w:rsidP="00172458">
            <w:pPr>
              <w:jc w:val="both"/>
            </w:pPr>
            <w:r w:rsidRPr="00D3562B">
              <w:t>A.M.C.</w:t>
            </w:r>
          </w:p>
        </w:tc>
        <w:tc>
          <w:tcPr>
            <w:tcW w:w="993" w:type="dxa"/>
            <w:hideMark/>
          </w:tcPr>
          <w:p w14:paraId="328B0AD3" w14:textId="77777777" w:rsidR="00BD6411" w:rsidRPr="00D3562B" w:rsidRDefault="00BD6411" w:rsidP="00172458">
            <w:pPr>
              <w:jc w:val="both"/>
            </w:pPr>
            <w:r w:rsidRPr="00D3562B">
              <w:t>POU Samobor i grad Samobor</w:t>
            </w:r>
          </w:p>
        </w:tc>
        <w:tc>
          <w:tcPr>
            <w:tcW w:w="1335" w:type="dxa"/>
            <w:hideMark/>
          </w:tcPr>
          <w:p w14:paraId="1B2B1F70" w14:textId="77777777" w:rsidR="00BD6411" w:rsidRPr="00D3562B" w:rsidRDefault="00BD6411" w:rsidP="00172458">
            <w:pPr>
              <w:jc w:val="both"/>
            </w:pPr>
            <w:r w:rsidRPr="00D3562B">
              <w:t>zaštita dostojanstva od uznemiravanja i povrede prava na jednako postupanje i isplatu</w:t>
            </w:r>
          </w:p>
        </w:tc>
        <w:tc>
          <w:tcPr>
            <w:tcW w:w="1182" w:type="dxa"/>
            <w:hideMark/>
          </w:tcPr>
          <w:p w14:paraId="6061DCE8" w14:textId="77777777" w:rsidR="00BD6411" w:rsidRPr="00D3562B" w:rsidRDefault="00BD6411" w:rsidP="00172458">
            <w:pPr>
              <w:jc w:val="both"/>
            </w:pPr>
            <w:r w:rsidRPr="00D3562B">
              <w:t>10.617,82 EUR</w:t>
            </w:r>
          </w:p>
        </w:tc>
        <w:tc>
          <w:tcPr>
            <w:tcW w:w="1299" w:type="dxa"/>
            <w:hideMark/>
          </w:tcPr>
          <w:p w14:paraId="2564AC97" w14:textId="77777777" w:rsidR="00BD6411" w:rsidRPr="00D3562B" w:rsidRDefault="00BD6411" w:rsidP="00172458">
            <w:pPr>
              <w:jc w:val="both"/>
            </w:pPr>
            <w:r w:rsidRPr="00D3562B">
              <w:t>10.617,82 EUR</w:t>
            </w:r>
          </w:p>
        </w:tc>
        <w:tc>
          <w:tcPr>
            <w:tcW w:w="1341" w:type="dxa"/>
            <w:hideMark/>
          </w:tcPr>
          <w:p w14:paraId="223DDD72" w14:textId="77777777" w:rsidR="00BD6411" w:rsidRPr="00D3562B" w:rsidRDefault="00BD6411" w:rsidP="00172458">
            <w:pPr>
              <w:jc w:val="both"/>
            </w:pPr>
            <w:r w:rsidRPr="00D3562B">
              <w:t> </w:t>
            </w:r>
          </w:p>
        </w:tc>
      </w:tr>
    </w:tbl>
    <w:p w14:paraId="55B9437A" w14:textId="77777777" w:rsidR="00BD6411" w:rsidRDefault="00BD6411" w:rsidP="00BD6411">
      <w:pPr>
        <w:spacing w:after="0"/>
        <w:jc w:val="right"/>
      </w:pPr>
    </w:p>
    <w:p w14:paraId="3F5E88BF" w14:textId="77777777" w:rsidR="00BD6411" w:rsidRDefault="00BD6411" w:rsidP="00BD6411">
      <w:pPr>
        <w:spacing w:after="0"/>
        <w:jc w:val="right"/>
      </w:pPr>
      <w:r>
        <w:t>POU SAMOBOR</w:t>
      </w:r>
    </w:p>
    <w:p w14:paraId="28B0D0AB" w14:textId="77777777" w:rsidR="00BD6411" w:rsidRDefault="00BD6411" w:rsidP="00BD6411">
      <w:pPr>
        <w:spacing w:after="0"/>
        <w:jc w:val="right"/>
      </w:pPr>
      <w:r>
        <w:t>UPRAVNO VIJEĆE</w:t>
      </w:r>
    </w:p>
    <w:p w14:paraId="2241FC53" w14:textId="77777777" w:rsidR="00BD6411" w:rsidRDefault="00BD6411" w:rsidP="00BD6411">
      <w:pPr>
        <w:spacing w:after="0"/>
        <w:jc w:val="right"/>
      </w:pPr>
      <w:r>
        <w:t>PREDSJEDNICA</w:t>
      </w:r>
    </w:p>
    <w:p w14:paraId="5879CB93" w14:textId="77777777" w:rsidR="00BD6411" w:rsidRDefault="00BD6411" w:rsidP="00BD6411">
      <w:pPr>
        <w:spacing w:after="0"/>
        <w:jc w:val="right"/>
      </w:pPr>
      <w:r>
        <w:t xml:space="preserve">Tihana Matijaščić </w:t>
      </w:r>
      <w:r>
        <w:fldChar w:fldCharType="begin"/>
      </w:r>
      <w:r>
        <w:instrText xml:space="preserve"> LINK Excel.Sheet.12 "https://alphacapitalishr.sharepoint.com/sites/Racunovodstvo/Shared Documents/01 Klijenti/pučko/gfi 2023/usklada grad/3. podaci za konsolidirane bilješke i izvještaj o izvršenju proračuna.xlsx" "List1!R1C1:R3C7" \a \f 4 \h  \* MERGEFORMAT </w:instrText>
      </w:r>
      <w:r>
        <w:fldChar w:fldCharType="separate"/>
      </w:r>
    </w:p>
    <w:p w14:paraId="5383B4EC" w14:textId="77777777" w:rsidR="00BD6411" w:rsidRDefault="00BD6411" w:rsidP="00BD6411">
      <w:pPr>
        <w:spacing w:after="0"/>
        <w:jc w:val="right"/>
      </w:pPr>
      <w:r>
        <w:fldChar w:fldCharType="end"/>
      </w:r>
    </w:p>
    <w:p w14:paraId="773F65E1" w14:textId="77777777" w:rsidR="00BD6411" w:rsidRDefault="00BD6411" w:rsidP="00B6054B">
      <w:pPr>
        <w:spacing w:line="276" w:lineRule="auto"/>
        <w:jc w:val="both"/>
        <w:rPr>
          <w:rFonts w:cstheme="minorHAnsi"/>
          <w:b/>
          <w:bCs/>
        </w:rPr>
      </w:pPr>
    </w:p>
    <w:p w14:paraId="30F5F68B" w14:textId="77777777" w:rsidR="00BD6411" w:rsidRPr="00B6054B" w:rsidRDefault="00BD6411" w:rsidP="00B6054B">
      <w:pPr>
        <w:spacing w:line="276" w:lineRule="auto"/>
        <w:jc w:val="both"/>
        <w:rPr>
          <w:rFonts w:cstheme="minorHAnsi"/>
          <w:b/>
          <w:bCs/>
        </w:rPr>
      </w:pPr>
    </w:p>
    <w:sectPr w:rsidR="00BD6411" w:rsidRPr="00B6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1463"/>
    <w:multiLevelType w:val="multilevel"/>
    <w:tmpl w:val="62769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DF3834"/>
    <w:multiLevelType w:val="hybridMultilevel"/>
    <w:tmpl w:val="0FB4F230"/>
    <w:lvl w:ilvl="0" w:tplc="C23AC2D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F005E"/>
    <w:multiLevelType w:val="multilevel"/>
    <w:tmpl w:val="62769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DB266FD"/>
    <w:multiLevelType w:val="hybridMultilevel"/>
    <w:tmpl w:val="7BB42FD8"/>
    <w:lvl w:ilvl="0" w:tplc="C80C13C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19033298">
    <w:abstractNumId w:val="2"/>
  </w:num>
  <w:num w:numId="2" w16cid:durableId="474496221">
    <w:abstractNumId w:val="3"/>
  </w:num>
  <w:num w:numId="3" w16cid:durableId="1283417807">
    <w:abstractNumId w:val="1"/>
  </w:num>
  <w:num w:numId="4" w16cid:durableId="161725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FD"/>
    <w:rsid w:val="00001FB2"/>
    <w:rsid w:val="00006929"/>
    <w:rsid w:val="00011824"/>
    <w:rsid w:val="000241BE"/>
    <w:rsid w:val="00037AAE"/>
    <w:rsid w:val="00040A6D"/>
    <w:rsid w:val="00041DFD"/>
    <w:rsid w:val="000521C8"/>
    <w:rsid w:val="00066DD1"/>
    <w:rsid w:val="00073527"/>
    <w:rsid w:val="00076A01"/>
    <w:rsid w:val="00091AB2"/>
    <w:rsid w:val="0009426F"/>
    <w:rsid w:val="00095D2F"/>
    <w:rsid w:val="000A0427"/>
    <w:rsid w:val="000B10B5"/>
    <w:rsid w:val="000C2C32"/>
    <w:rsid w:val="000C42A5"/>
    <w:rsid w:val="000C4D9E"/>
    <w:rsid w:val="000C7F75"/>
    <w:rsid w:val="000F2B95"/>
    <w:rsid w:val="00111541"/>
    <w:rsid w:val="0011286E"/>
    <w:rsid w:val="0013030A"/>
    <w:rsid w:val="001464DD"/>
    <w:rsid w:val="00163F5A"/>
    <w:rsid w:val="00166016"/>
    <w:rsid w:val="00170374"/>
    <w:rsid w:val="00173F37"/>
    <w:rsid w:val="00185D8D"/>
    <w:rsid w:val="00192AFA"/>
    <w:rsid w:val="00195A5E"/>
    <w:rsid w:val="001B7D04"/>
    <w:rsid w:val="00225C77"/>
    <w:rsid w:val="00234419"/>
    <w:rsid w:val="00245E3F"/>
    <w:rsid w:val="00254A10"/>
    <w:rsid w:val="0025530B"/>
    <w:rsid w:val="00256902"/>
    <w:rsid w:val="002614F5"/>
    <w:rsid w:val="002748FD"/>
    <w:rsid w:val="00277567"/>
    <w:rsid w:val="0028780A"/>
    <w:rsid w:val="002917C7"/>
    <w:rsid w:val="00297CBB"/>
    <w:rsid w:val="002A2A4D"/>
    <w:rsid w:val="002B6CF7"/>
    <w:rsid w:val="002C36F3"/>
    <w:rsid w:val="002C4FE9"/>
    <w:rsid w:val="002D074D"/>
    <w:rsid w:val="002E10EA"/>
    <w:rsid w:val="002E6658"/>
    <w:rsid w:val="002E74B6"/>
    <w:rsid w:val="003066D1"/>
    <w:rsid w:val="00316728"/>
    <w:rsid w:val="00324386"/>
    <w:rsid w:val="003305B2"/>
    <w:rsid w:val="00343394"/>
    <w:rsid w:val="00354FE2"/>
    <w:rsid w:val="00363145"/>
    <w:rsid w:val="00367D7C"/>
    <w:rsid w:val="003700D4"/>
    <w:rsid w:val="003753F0"/>
    <w:rsid w:val="00396018"/>
    <w:rsid w:val="003A086C"/>
    <w:rsid w:val="003A3479"/>
    <w:rsid w:val="003A3DA4"/>
    <w:rsid w:val="003C3CDF"/>
    <w:rsid w:val="003C6DBD"/>
    <w:rsid w:val="003D3A21"/>
    <w:rsid w:val="003D427B"/>
    <w:rsid w:val="003D6A70"/>
    <w:rsid w:val="003E7CC8"/>
    <w:rsid w:val="003F5A5B"/>
    <w:rsid w:val="00406700"/>
    <w:rsid w:val="00424B69"/>
    <w:rsid w:val="00427863"/>
    <w:rsid w:val="004315EB"/>
    <w:rsid w:val="004326D0"/>
    <w:rsid w:val="00435FF5"/>
    <w:rsid w:val="0043748C"/>
    <w:rsid w:val="00441613"/>
    <w:rsid w:val="00443443"/>
    <w:rsid w:val="00443821"/>
    <w:rsid w:val="0046188D"/>
    <w:rsid w:val="00467A6B"/>
    <w:rsid w:val="004912BA"/>
    <w:rsid w:val="004B23AE"/>
    <w:rsid w:val="004B391C"/>
    <w:rsid w:val="004C350E"/>
    <w:rsid w:val="004D678E"/>
    <w:rsid w:val="004E4EE9"/>
    <w:rsid w:val="004F1172"/>
    <w:rsid w:val="004F2325"/>
    <w:rsid w:val="004F33B9"/>
    <w:rsid w:val="00506223"/>
    <w:rsid w:val="00517049"/>
    <w:rsid w:val="00522E5A"/>
    <w:rsid w:val="00527911"/>
    <w:rsid w:val="005444F5"/>
    <w:rsid w:val="0054754C"/>
    <w:rsid w:val="00580BB3"/>
    <w:rsid w:val="005B7154"/>
    <w:rsid w:val="005D65D6"/>
    <w:rsid w:val="005D6C03"/>
    <w:rsid w:val="005F1604"/>
    <w:rsid w:val="00620FCF"/>
    <w:rsid w:val="00625E74"/>
    <w:rsid w:val="00626D95"/>
    <w:rsid w:val="006363B2"/>
    <w:rsid w:val="006509A6"/>
    <w:rsid w:val="00652133"/>
    <w:rsid w:val="006538FE"/>
    <w:rsid w:val="00675C64"/>
    <w:rsid w:val="00681C3D"/>
    <w:rsid w:val="00684CD8"/>
    <w:rsid w:val="00685A33"/>
    <w:rsid w:val="006933C1"/>
    <w:rsid w:val="006A65D6"/>
    <w:rsid w:val="006D4A1D"/>
    <w:rsid w:val="006D645C"/>
    <w:rsid w:val="006E52E4"/>
    <w:rsid w:val="006F6AA1"/>
    <w:rsid w:val="006F71B9"/>
    <w:rsid w:val="007107A5"/>
    <w:rsid w:val="0071535C"/>
    <w:rsid w:val="007200E4"/>
    <w:rsid w:val="00746414"/>
    <w:rsid w:val="00764D18"/>
    <w:rsid w:val="007650D5"/>
    <w:rsid w:val="00784FF9"/>
    <w:rsid w:val="00793722"/>
    <w:rsid w:val="00796A7A"/>
    <w:rsid w:val="007E13F6"/>
    <w:rsid w:val="007F10E6"/>
    <w:rsid w:val="008044AD"/>
    <w:rsid w:val="00826415"/>
    <w:rsid w:val="00841400"/>
    <w:rsid w:val="00841F7C"/>
    <w:rsid w:val="0084738E"/>
    <w:rsid w:val="00875418"/>
    <w:rsid w:val="00877416"/>
    <w:rsid w:val="008E7723"/>
    <w:rsid w:val="00913D0D"/>
    <w:rsid w:val="0091658A"/>
    <w:rsid w:val="009172B3"/>
    <w:rsid w:val="00923F16"/>
    <w:rsid w:val="00925E46"/>
    <w:rsid w:val="00930C2A"/>
    <w:rsid w:val="00931538"/>
    <w:rsid w:val="0093650E"/>
    <w:rsid w:val="00941EEA"/>
    <w:rsid w:val="00944E65"/>
    <w:rsid w:val="00946046"/>
    <w:rsid w:val="009500DD"/>
    <w:rsid w:val="00967F06"/>
    <w:rsid w:val="00992A1D"/>
    <w:rsid w:val="009A3F7A"/>
    <w:rsid w:val="009B54C3"/>
    <w:rsid w:val="009B7E63"/>
    <w:rsid w:val="009C243D"/>
    <w:rsid w:val="009C5F54"/>
    <w:rsid w:val="009D1A28"/>
    <w:rsid w:val="009E7C2D"/>
    <w:rsid w:val="009F3F91"/>
    <w:rsid w:val="009F70C4"/>
    <w:rsid w:val="00A03B66"/>
    <w:rsid w:val="00A04020"/>
    <w:rsid w:val="00A05CB8"/>
    <w:rsid w:val="00A0618F"/>
    <w:rsid w:val="00A1635B"/>
    <w:rsid w:val="00A20F6A"/>
    <w:rsid w:val="00A223E5"/>
    <w:rsid w:val="00A32B4F"/>
    <w:rsid w:val="00A35E84"/>
    <w:rsid w:val="00A6053F"/>
    <w:rsid w:val="00A87945"/>
    <w:rsid w:val="00A949D3"/>
    <w:rsid w:val="00A97731"/>
    <w:rsid w:val="00AA2C26"/>
    <w:rsid w:val="00AB212B"/>
    <w:rsid w:val="00AB3E46"/>
    <w:rsid w:val="00AD360C"/>
    <w:rsid w:val="00AD3CDD"/>
    <w:rsid w:val="00B1124C"/>
    <w:rsid w:val="00B24E77"/>
    <w:rsid w:val="00B37C12"/>
    <w:rsid w:val="00B6054B"/>
    <w:rsid w:val="00B62DB6"/>
    <w:rsid w:val="00B63637"/>
    <w:rsid w:val="00B67CE0"/>
    <w:rsid w:val="00B82B33"/>
    <w:rsid w:val="00B82F15"/>
    <w:rsid w:val="00B83623"/>
    <w:rsid w:val="00B9091C"/>
    <w:rsid w:val="00BA0177"/>
    <w:rsid w:val="00BA0FF4"/>
    <w:rsid w:val="00BA78EC"/>
    <w:rsid w:val="00BB3B84"/>
    <w:rsid w:val="00BC64CF"/>
    <w:rsid w:val="00BD37B1"/>
    <w:rsid w:val="00BD6411"/>
    <w:rsid w:val="00C0165F"/>
    <w:rsid w:val="00C055B5"/>
    <w:rsid w:val="00C14343"/>
    <w:rsid w:val="00C230B1"/>
    <w:rsid w:val="00C24170"/>
    <w:rsid w:val="00C31681"/>
    <w:rsid w:val="00C31D33"/>
    <w:rsid w:val="00C32D0F"/>
    <w:rsid w:val="00C3310B"/>
    <w:rsid w:val="00C4066F"/>
    <w:rsid w:val="00C40EDF"/>
    <w:rsid w:val="00C4504E"/>
    <w:rsid w:val="00C466D6"/>
    <w:rsid w:val="00C5338E"/>
    <w:rsid w:val="00C57506"/>
    <w:rsid w:val="00C71415"/>
    <w:rsid w:val="00C74B68"/>
    <w:rsid w:val="00C77558"/>
    <w:rsid w:val="00C80E83"/>
    <w:rsid w:val="00C91993"/>
    <w:rsid w:val="00C92223"/>
    <w:rsid w:val="00C9564A"/>
    <w:rsid w:val="00C97DF0"/>
    <w:rsid w:val="00CA42D6"/>
    <w:rsid w:val="00CA7C5C"/>
    <w:rsid w:val="00CB57C4"/>
    <w:rsid w:val="00CD6FA1"/>
    <w:rsid w:val="00CF071A"/>
    <w:rsid w:val="00D10202"/>
    <w:rsid w:val="00D14FE9"/>
    <w:rsid w:val="00D234DB"/>
    <w:rsid w:val="00D32808"/>
    <w:rsid w:val="00D35EAA"/>
    <w:rsid w:val="00D404EC"/>
    <w:rsid w:val="00D52882"/>
    <w:rsid w:val="00D67D17"/>
    <w:rsid w:val="00D80BF4"/>
    <w:rsid w:val="00D86B03"/>
    <w:rsid w:val="00D926F7"/>
    <w:rsid w:val="00DA2592"/>
    <w:rsid w:val="00DA40BE"/>
    <w:rsid w:val="00DA7281"/>
    <w:rsid w:val="00DA7B6F"/>
    <w:rsid w:val="00DB127A"/>
    <w:rsid w:val="00DB76D6"/>
    <w:rsid w:val="00DC6BE0"/>
    <w:rsid w:val="00DD5727"/>
    <w:rsid w:val="00DE67E6"/>
    <w:rsid w:val="00DF5C74"/>
    <w:rsid w:val="00E0202E"/>
    <w:rsid w:val="00E10FFA"/>
    <w:rsid w:val="00E21082"/>
    <w:rsid w:val="00E218B3"/>
    <w:rsid w:val="00E26D7E"/>
    <w:rsid w:val="00E31F6C"/>
    <w:rsid w:val="00E339F4"/>
    <w:rsid w:val="00E509CA"/>
    <w:rsid w:val="00E606EF"/>
    <w:rsid w:val="00E62AE8"/>
    <w:rsid w:val="00E651D8"/>
    <w:rsid w:val="00E92F38"/>
    <w:rsid w:val="00EA209A"/>
    <w:rsid w:val="00EA3613"/>
    <w:rsid w:val="00EC65A1"/>
    <w:rsid w:val="00EE0329"/>
    <w:rsid w:val="00EE0B28"/>
    <w:rsid w:val="00EE743B"/>
    <w:rsid w:val="00EF6D9D"/>
    <w:rsid w:val="00F21C52"/>
    <w:rsid w:val="00F21E47"/>
    <w:rsid w:val="00F25145"/>
    <w:rsid w:val="00F57EE5"/>
    <w:rsid w:val="00F64E83"/>
    <w:rsid w:val="00F67E26"/>
    <w:rsid w:val="00F767C9"/>
    <w:rsid w:val="00F943D5"/>
    <w:rsid w:val="00FA379D"/>
    <w:rsid w:val="00FA78F4"/>
    <w:rsid w:val="00FB06C8"/>
    <w:rsid w:val="00FB1663"/>
    <w:rsid w:val="00FC21FD"/>
    <w:rsid w:val="00FC70F6"/>
    <w:rsid w:val="00FD3DE3"/>
    <w:rsid w:val="00FD5553"/>
    <w:rsid w:val="00FD5939"/>
    <w:rsid w:val="00FE0A04"/>
    <w:rsid w:val="00FE5BA3"/>
    <w:rsid w:val="00FF2CA2"/>
    <w:rsid w:val="00FF480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1FAF"/>
  <w15:chartTrackingRefBased/>
  <w15:docId w15:val="{B0280ECF-8812-4AF5-85AB-A4B75189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C21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1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7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926F7"/>
  </w:style>
  <w:style w:type="table" w:styleId="TableGrid">
    <w:name w:val="Table Grid"/>
    <w:basedOn w:val="TableNormal"/>
    <w:uiPriority w:val="39"/>
    <w:rsid w:val="00FE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-JOSIPAA">
    <w:name w:val="TEKST-JOSIPAA"/>
    <w:basedOn w:val="Normal"/>
    <w:qFormat/>
    <w:rsid w:val="000521C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5e3db4-8f85-4174-8a61-ec0ec55cd4a7" xsi:nil="true"/>
    <lcf76f155ced4ddcb4097134ff3c332f xmlns="14f0dee1-b903-497b-840a-032b19d998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B1C5D1DF83D438023DCD1E521A4BB" ma:contentTypeVersion="18" ma:contentTypeDescription="Stvaranje novog dokumenta." ma:contentTypeScope="" ma:versionID="1dbc87740057cd34725281fdd4fff2a0">
  <xsd:schema xmlns:xsd="http://www.w3.org/2001/XMLSchema" xmlns:xs="http://www.w3.org/2001/XMLSchema" xmlns:p="http://schemas.microsoft.com/office/2006/metadata/properties" xmlns:ns2="14f0dee1-b903-497b-840a-032b19d99808" xmlns:ns3="6c5e3db4-8f85-4174-8a61-ec0ec55cd4a7" targetNamespace="http://schemas.microsoft.com/office/2006/metadata/properties" ma:root="true" ma:fieldsID="f3c8819cf8278fb636bdf2c5551b6b0f" ns2:_="" ns3:_="">
    <xsd:import namespace="14f0dee1-b903-497b-840a-032b19d99808"/>
    <xsd:import namespace="6c5e3db4-8f85-4174-8a61-ec0ec55cd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dee1-b903-497b-840a-032b19d99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377d66-c8ee-4eec-90b7-a636d6096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3db4-8f85-4174-8a61-ec0ec55cd4a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8d8ad7-f05e-4420-9f7e-3c45b54905e8}" ma:internalName="TaxCatchAll" ma:showField="CatchAllData" ma:web="6c5e3db4-8f85-4174-8a61-ec0ec55cd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0960F-AA40-4A72-A5C1-075AF9068093}">
  <ds:schemaRefs>
    <ds:schemaRef ds:uri="http://schemas.microsoft.com/office/2006/metadata/properties"/>
    <ds:schemaRef ds:uri="http://schemas.microsoft.com/office/infopath/2007/PartnerControls"/>
    <ds:schemaRef ds:uri="6c5e3db4-8f85-4174-8a61-ec0ec55cd4a7"/>
    <ds:schemaRef ds:uri="14f0dee1-b903-497b-840a-032b19d99808"/>
  </ds:schemaRefs>
</ds:datastoreItem>
</file>

<file path=customXml/itemProps2.xml><?xml version="1.0" encoding="utf-8"?>
<ds:datastoreItem xmlns:ds="http://schemas.openxmlformats.org/officeDocument/2006/customXml" ds:itemID="{BB392ED3-A1F0-4DD5-9A44-B1FF8BF4E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BCD74-B742-4B44-84E3-2A0F9C562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0dee1-b903-497b-840a-032b19d99808"/>
    <ds:schemaRef ds:uri="6c5e3db4-8f85-4174-8a61-ec0ec55cd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2615</Words>
  <Characters>14910</Characters>
  <Application>Microsoft Office Word</Application>
  <DocSecurity>0</DocSecurity>
  <Lines>124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Kudric</dc:creator>
  <cp:keywords/>
  <dc:description/>
  <cp:lastModifiedBy>Jasmina Šojić</cp:lastModifiedBy>
  <cp:revision>2</cp:revision>
  <cp:lastPrinted>2026-03-31T15:06:00Z</cp:lastPrinted>
  <dcterms:created xsi:type="dcterms:W3CDTF">2026-04-01T09:14:00Z</dcterms:created>
  <dcterms:modified xsi:type="dcterms:W3CDTF">2026-04-01T09:14:00Z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0x01010054EB1C5D1DF83D438023DCD1E521A4BB</vt:lpwstr>
  </property>
  <property fmtid="{D5CDD505-2E9C-101B-9397-08002B2CF9AE}" pid="3" name="MediaServiceImageTags">
    <vt:lpwstr/>
  </property>
</Properties>
</file>