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74C8C" w14:textId="77777777" w:rsidR="00ED0144" w:rsidRPr="004259B4" w:rsidRDefault="00ED0144" w:rsidP="00ED0144">
      <w:pPr>
        <w:ind w:firstLine="720"/>
        <w:jc w:val="right"/>
        <w:rPr>
          <w:b/>
          <w:i/>
          <w:iCs/>
          <w:u w:val="single"/>
          <w:lang w:val="hr-HR"/>
        </w:rPr>
      </w:pPr>
      <w:bookmarkStart w:id="0" w:name="_GoBack"/>
      <w:bookmarkEnd w:id="0"/>
      <w:r w:rsidRPr="004259B4">
        <w:rPr>
          <w:b/>
          <w:i/>
          <w:iCs/>
          <w:u w:val="single"/>
          <w:lang w:val="hr-HR"/>
        </w:rPr>
        <w:t>PRIJEDLOG</w:t>
      </w:r>
    </w:p>
    <w:p w14:paraId="29803D99" w14:textId="77777777" w:rsidR="00ED0144" w:rsidRPr="004259B4" w:rsidRDefault="00ED0144" w:rsidP="0026048D">
      <w:pPr>
        <w:ind w:firstLine="720"/>
        <w:jc w:val="both"/>
        <w:rPr>
          <w:iCs/>
          <w:lang w:val="hr-HR"/>
        </w:rPr>
      </w:pPr>
    </w:p>
    <w:p w14:paraId="37C7ECE6" w14:textId="4D831D1E" w:rsidR="0058022B" w:rsidRPr="004259B4" w:rsidRDefault="00ED2FAB" w:rsidP="0026048D">
      <w:pPr>
        <w:ind w:firstLine="720"/>
        <w:jc w:val="both"/>
        <w:rPr>
          <w:iCs/>
          <w:lang w:val="hr-HR"/>
        </w:rPr>
      </w:pPr>
      <w:r w:rsidRPr="004259B4">
        <w:rPr>
          <w:iCs/>
          <w:lang w:val="hr-HR"/>
        </w:rPr>
        <w:t>Na temelju članka 23</w:t>
      </w:r>
      <w:r w:rsidR="0058022B" w:rsidRPr="004259B4">
        <w:rPr>
          <w:iCs/>
          <w:lang w:val="hr-HR"/>
        </w:rPr>
        <w:t>. stavk</w:t>
      </w:r>
      <w:r w:rsidR="005D7E6A" w:rsidRPr="004259B4">
        <w:rPr>
          <w:iCs/>
          <w:lang w:val="hr-HR"/>
        </w:rPr>
        <w:t>a</w:t>
      </w:r>
      <w:r w:rsidR="0058022B" w:rsidRPr="004259B4">
        <w:rPr>
          <w:iCs/>
          <w:lang w:val="hr-HR"/>
        </w:rPr>
        <w:t xml:space="preserve"> 1. Zakona o komunalnom gospod</w:t>
      </w:r>
      <w:r w:rsidR="00FE5F39" w:rsidRPr="004259B4">
        <w:rPr>
          <w:iCs/>
          <w:lang w:val="hr-HR"/>
        </w:rPr>
        <w:t>arstvu (</w:t>
      </w:r>
      <w:r w:rsidR="002B3BEB" w:rsidRPr="004259B4">
        <w:t>Narodne novine br. 36/95, 70/97, 128/99, 57/00, 129/00, 59/01, 82/04, 178/04, 38/09, 79/09, 153/09, 49/11, 84/11, 90/11, 144/12, 94/13, 153/13, 147/14 i 36/15</w:t>
      </w:r>
      <w:r w:rsidR="00FE5F39" w:rsidRPr="004259B4">
        <w:rPr>
          <w:iCs/>
          <w:lang w:val="hr-HR"/>
        </w:rPr>
        <w:t>), članka 30</w:t>
      </w:r>
      <w:r w:rsidR="0058022B" w:rsidRPr="004259B4">
        <w:rPr>
          <w:iCs/>
          <w:lang w:val="hr-HR"/>
        </w:rPr>
        <w:t>. Statuta Grada Samobora (Službene vijesti Grada Samobora</w:t>
      </w:r>
      <w:r w:rsidR="00FE5F39" w:rsidRPr="004259B4">
        <w:rPr>
          <w:iCs/>
          <w:lang w:val="hr-HR"/>
        </w:rPr>
        <w:t xml:space="preserve"> br. 3/16 </w:t>
      </w:r>
      <w:r w:rsidR="0058022B" w:rsidRPr="004259B4">
        <w:rPr>
          <w:iCs/>
          <w:lang w:val="hr-HR"/>
        </w:rPr>
        <w:t>)</w:t>
      </w:r>
      <w:r w:rsidR="00ED0144" w:rsidRPr="004259B4">
        <w:rPr>
          <w:iCs/>
          <w:lang w:val="hr-HR"/>
        </w:rPr>
        <w:t xml:space="preserve"> i</w:t>
      </w:r>
      <w:r w:rsidR="005D7E6A" w:rsidRPr="004259B4">
        <w:rPr>
          <w:iCs/>
          <w:lang w:val="hr-HR"/>
        </w:rPr>
        <w:t xml:space="preserve"> članka</w:t>
      </w:r>
      <w:r w:rsidR="00FE5F39" w:rsidRPr="004259B4">
        <w:rPr>
          <w:iCs/>
          <w:lang w:val="hr-HR"/>
        </w:rPr>
        <w:t xml:space="preserve"> 77. Poslovnika Gradskog vijeća Grada Samobora (Službene vijesti Grada Samobora br. 4/16 – pročišćeni tekst)</w:t>
      </w:r>
      <w:r w:rsidR="00ED0144" w:rsidRPr="004259B4">
        <w:rPr>
          <w:iCs/>
          <w:lang w:val="hr-HR"/>
        </w:rPr>
        <w:t>,</w:t>
      </w:r>
      <w:r w:rsidR="0058022B" w:rsidRPr="004259B4">
        <w:rPr>
          <w:iCs/>
          <w:lang w:val="hr-HR"/>
        </w:rPr>
        <w:t xml:space="preserve"> Gradsko vi</w:t>
      </w:r>
      <w:r w:rsidR="00FE5F39" w:rsidRPr="004259B4">
        <w:rPr>
          <w:iCs/>
          <w:lang w:val="hr-HR"/>
        </w:rPr>
        <w:t>jeće Grada Samobora na svojoj ___</w:t>
      </w:r>
      <w:r w:rsidR="0058022B" w:rsidRPr="004259B4">
        <w:rPr>
          <w:iCs/>
          <w:lang w:val="hr-HR"/>
        </w:rPr>
        <w:t xml:space="preserve"> sj</w:t>
      </w:r>
      <w:r w:rsidR="00FE5F39" w:rsidRPr="004259B4">
        <w:rPr>
          <w:iCs/>
          <w:lang w:val="hr-HR"/>
        </w:rPr>
        <w:t>ednici održanoj dana ______</w:t>
      </w:r>
      <w:r w:rsidR="0058022B" w:rsidRPr="004259B4">
        <w:rPr>
          <w:iCs/>
          <w:lang w:val="hr-HR"/>
        </w:rPr>
        <w:t xml:space="preserve"> godine donijelo je</w:t>
      </w:r>
    </w:p>
    <w:p w14:paraId="0BD816FD" w14:textId="77777777" w:rsidR="002A0EE2" w:rsidRPr="004259B4" w:rsidRDefault="002A0EE2">
      <w:pPr>
        <w:jc w:val="both"/>
        <w:rPr>
          <w:iCs/>
          <w:lang w:val="hr-HR"/>
        </w:rPr>
      </w:pPr>
    </w:p>
    <w:p w14:paraId="7BF69CCE" w14:textId="77777777" w:rsidR="00ED0144" w:rsidRPr="004259B4" w:rsidRDefault="00ED0144">
      <w:pPr>
        <w:jc w:val="both"/>
        <w:rPr>
          <w:iCs/>
          <w:lang w:val="hr-HR"/>
        </w:rPr>
      </w:pPr>
    </w:p>
    <w:p w14:paraId="3EEA942E" w14:textId="77777777" w:rsidR="00ED0144" w:rsidRPr="004259B4" w:rsidRDefault="0058022B">
      <w:pPr>
        <w:jc w:val="center"/>
        <w:rPr>
          <w:b/>
          <w:bCs/>
          <w:iCs/>
          <w:lang w:val="hr-HR"/>
        </w:rPr>
      </w:pPr>
      <w:r w:rsidRPr="004259B4">
        <w:rPr>
          <w:b/>
          <w:bCs/>
          <w:iCs/>
          <w:lang w:val="hr-HR"/>
        </w:rPr>
        <w:t>ODLUKU</w:t>
      </w:r>
      <w:r w:rsidR="005D7E6A" w:rsidRPr="004259B4">
        <w:rPr>
          <w:b/>
          <w:bCs/>
          <w:iCs/>
          <w:lang w:val="hr-HR"/>
        </w:rPr>
        <w:t xml:space="preserve"> </w:t>
      </w:r>
    </w:p>
    <w:p w14:paraId="4843809A" w14:textId="77777777" w:rsidR="0058022B" w:rsidRPr="004259B4" w:rsidRDefault="0058022B">
      <w:pPr>
        <w:jc w:val="center"/>
        <w:rPr>
          <w:iCs/>
          <w:lang w:val="hr-HR"/>
        </w:rPr>
      </w:pPr>
      <w:r w:rsidRPr="004259B4">
        <w:rPr>
          <w:b/>
          <w:bCs/>
          <w:iCs/>
          <w:lang w:val="hr-HR"/>
        </w:rPr>
        <w:t>O KOMUNALNOJ NAKNADI</w:t>
      </w:r>
    </w:p>
    <w:p w14:paraId="60A97041" w14:textId="77777777" w:rsidR="0058022B" w:rsidRPr="004259B4" w:rsidRDefault="0058022B">
      <w:pPr>
        <w:jc w:val="both"/>
        <w:rPr>
          <w:iCs/>
          <w:lang w:val="hr-HR"/>
        </w:rPr>
      </w:pPr>
    </w:p>
    <w:p w14:paraId="5F44656C" w14:textId="77777777" w:rsidR="00771B09" w:rsidRPr="004259B4" w:rsidRDefault="00771B09">
      <w:pPr>
        <w:jc w:val="both"/>
        <w:rPr>
          <w:iCs/>
          <w:lang w:val="hr-HR"/>
        </w:rPr>
      </w:pPr>
    </w:p>
    <w:p w14:paraId="5DF3CB15" w14:textId="23D6A4EC" w:rsidR="0058022B" w:rsidRPr="004259B4" w:rsidRDefault="0058022B" w:rsidP="00C94F2A">
      <w:pPr>
        <w:pStyle w:val="Heading9"/>
        <w:numPr>
          <w:ilvl w:val="0"/>
          <w:numId w:val="21"/>
        </w:numPr>
        <w:jc w:val="left"/>
        <w:rPr>
          <w:lang w:val="hr-HR"/>
        </w:rPr>
      </w:pPr>
      <w:r w:rsidRPr="004259B4">
        <w:rPr>
          <w:sz w:val="24"/>
          <w:lang w:val="hr-HR"/>
        </w:rPr>
        <w:t>OPĆE ODREDBE</w:t>
      </w:r>
    </w:p>
    <w:p w14:paraId="6CC2BF37" w14:textId="77777777" w:rsidR="0058022B" w:rsidRPr="004259B4" w:rsidRDefault="0058022B">
      <w:pPr>
        <w:jc w:val="both"/>
        <w:rPr>
          <w:iCs/>
          <w:lang w:val="hr-HR"/>
        </w:rPr>
      </w:pPr>
    </w:p>
    <w:p w14:paraId="062E91FA" w14:textId="77777777" w:rsidR="00051581" w:rsidRPr="004259B4" w:rsidRDefault="0058022B" w:rsidP="00051581">
      <w:pPr>
        <w:jc w:val="center"/>
        <w:rPr>
          <w:b/>
          <w:bCs/>
          <w:iCs/>
          <w:lang w:val="hr-HR"/>
        </w:rPr>
      </w:pPr>
      <w:r w:rsidRPr="004259B4">
        <w:rPr>
          <w:b/>
          <w:bCs/>
          <w:iCs/>
          <w:lang w:val="hr-HR"/>
        </w:rPr>
        <w:t>Članak 1.</w:t>
      </w:r>
    </w:p>
    <w:p w14:paraId="43A2D400" w14:textId="28DBFF15" w:rsidR="0058022B" w:rsidRPr="004259B4" w:rsidRDefault="0058022B" w:rsidP="0026048D">
      <w:pPr>
        <w:ind w:firstLine="720"/>
        <w:jc w:val="both"/>
        <w:rPr>
          <w:iCs/>
          <w:lang w:val="hr-HR"/>
        </w:rPr>
      </w:pPr>
      <w:r w:rsidRPr="004259B4">
        <w:rPr>
          <w:iCs/>
          <w:lang w:val="hr-HR"/>
        </w:rPr>
        <w:t>Ovom odlukom određuju se naselja Grada Samobora, kao jedi</w:t>
      </w:r>
      <w:r w:rsidR="002340F8" w:rsidRPr="004259B4">
        <w:rPr>
          <w:iCs/>
          <w:lang w:val="hr-HR"/>
        </w:rPr>
        <w:t>nice lokalne samouprave</w:t>
      </w:r>
      <w:r w:rsidRPr="004259B4">
        <w:rPr>
          <w:iCs/>
          <w:lang w:val="hr-HR"/>
        </w:rPr>
        <w:t>, u kojima se naplaćuje komunalna naknada, područja zon</w:t>
      </w:r>
      <w:r w:rsidR="00DF7093" w:rsidRPr="004259B4">
        <w:rPr>
          <w:iCs/>
          <w:lang w:val="hr-HR"/>
        </w:rPr>
        <w:t>a u Gradu Samoboru, koeficijent</w:t>
      </w:r>
      <w:r w:rsidRPr="004259B4">
        <w:rPr>
          <w:iCs/>
          <w:lang w:val="hr-HR"/>
        </w:rPr>
        <w:t xml:space="preserve"> zona za pojedine zone, </w:t>
      </w:r>
      <w:r w:rsidR="00DF7093" w:rsidRPr="004259B4">
        <w:rPr>
          <w:iCs/>
          <w:lang w:val="hr-HR"/>
        </w:rPr>
        <w:t>koeficijent</w:t>
      </w:r>
      <w:r w:rsidRPr="004259B4">
        <w:rPr>
          <w:iCs/>
          <w:lang w:val="hr-HR"/>
        </w:rPr>
        <w:t xml:space="preserve"> namjene za poslovni prostor i za građevno zemljište koje služi u svrhu obavljanja poslovne djelatnosti,</w:t>
      </w:r>
      <w:r w:rsidR="00DF7093" w:rsidRPr="004259B4">
        <w:rPr>
          <w:iCs/>
          <w:lang w:val="hr-HR"/>
        </w:rPr>
        <w:t xml:space="preserve"> rok plaćanja komunalne naknade, </w:t>
      </w:r>
      <w:r w:rsidRPr="004259B4">
        <w:rPr>
          <w:iCs/>
          <w:lang w:val="hr-HR"/>
        </w:rPr>
        <w:t>nekretnine važne za Grad Samobor koje se</w:t>
      </w:r>
      <w:r w:rsidR="00DF7093" w:rsidRPr="004259B4">
        <w:rPr>
          <w:iCs/>
          <w:lang w:val="hr-HR"/>
        </w:rPr>
        <w:t xml:space="preserve"> u potpunosti ili djelomično</w:t>
      </w:r>
      <w:r w:rsidRPr="004259B4">
        <w:rPr>
          <w:iCs/>
          <w:lang w:val="hr-HR"/>
        </w:rPr>
        <w:t xml:space="preserve"> oslobađaju od plaćanja komunalne naknade,</w:t>
      </w:r>
      <w:r w:rsidR="00DF7093" w:rsidRPr="004259B4">
        <w:rPr>
          <w:iCs/>
          <w:lang w:val="hr-HR"/>
        </w:rPr>
        <w:t xml:space="preserve"> opći uvjeti i razlozi zbog kojih se u pojedinim slučajevima može odobriti potpuno ili djelomično oslobađanje od plaćanja komuna</w:t>
      </w:r>
      <w:r w:rsidR="00ED182F" w:rsidRPr="004259B4">
        <w:rPr>
          <w:iCs/>
          <w:lang w:val="hr-HR"/>
        </w:rPr>
        <w:t>lne naknade i</w:t>
      </w:r>
      <w:r w:rsidR="003C2197" w:rsidRPr="004259B4">
        <w:rPr>
          <w:iCs/>
          <w:lang w:val="hr-HR"/>
        </w:rPr>
        <w:t xml:space="preserve"> izvori</w:t>
      </w:r>
      <w:r w:rsidR="00DF7093" w:rsidRPr="004259B4">
        <w:rPr>
          <w:iCs/>
          <w:lang w:val="hr-HR"/>
        </w:rPr>
        <w:t xml:space="preserve"> sredstava iz kojih će se namiriti iznos za slučaj potpunog ili djelomičnog oslobađanja od plaćanja komunalne naknade.</w:t>
      </w:r>
    </w:p>
    <w:p w14:paraId="58ABD5F8" w14:textId="77777777" w:rsidR="0058022B" w:rsidRPr="004259B4" w:rsidRDefault="0058022B">
      <w:pPr>
        <w:jc w:val="both"/>
        <w:rPr>
          <w:iCs/>
          <w:lang w:val="hr-HR"/>
        </w:rPr>
      </w:pPr>
    </w:p>
    <w:p w14:paraId="533C805B" w14:textId="77777777" w:rsidR="0058022B" w:rsidRPr="004259B4" w:rsidRDefault="0058022B">
      <w:pPr>
        <w:jc w:val="center"/>
        <w:rPr>
          <w:b/>
          <w:bCs/>
          <w:iCs/>
          <w:lang w:val="hr-HR"/>
        </w:rPr>
      </w:pPr>
      <w:r w:rsidRPr="004259B4">
        <w:rPr>
          <w:b/>
          <w:bCs/>
          <w:iCs/>
          <w:lang w:val="hr-HR"/>
        </w:rPr>
        <w:t>Članak 2.</w:t>
      </w:r>
    </w:p>
    <w:p w14:paraId="53150729" w14:textId="77777777" w:rsidR="0058022B" w:rsidRPr="004259B4" w:rsidRDefault="0058022B" w:rsidP="0026048D">
      <w:pPr>
        <w:ind w:firstLine="709"/>
        <w:jc w:val="both"/>
        <w:rPr>
          <w:iCs/>
          <w:lang w:val="hr-HR"/>
        </w:rPr>
      </w:pPr>
      <w:r w:rsidRPr="004259B4">
        <w:rPr>
          <w:iCs/>
          <w:lang w:val="hr-HR"/>
        </w:rPr>
        <w:t xml:space="preserve">Komunalna naknada prihod </w:t>
      </w:r>
      <w:r w:rsidR="005D7E6A" w:rsidRPr="004259B4">
        <w:rPr>
          <w:iCs/>
          <w:lang w:val="hr-HR"/>
        </w:rPr>
        <w:t xml:space="preserve">je </w:t>
      </w:r>
      <w:r w:rsidRPr="004259B4">
        <w:rPr>
          <w:iCs/>
          <w:lang w:val="hr-HR"/>
        </w:rPr>
        <w:t>proračuna Grada Samobora.</w:t>
      </w:r>
    </w:p>
    <w:p w14:paraId="68C0A382" w14:textId="77777777" w:rsidR="0058022B" w:rsidRPr="004259B4" w:rsidRDefault="0058022B" w:rsidP="0026048D">
      <w:pPr>
        <w:ind w:firstLine="709"/>
        <w:jc w:val="both"/>
        <w:rPr>
          <w:iCs/>
          <w:lang w:val="hr-HR"/>
        </w:rPr>
      </w:pPr>
      <w:r w:rsidRPr="004259B4">
        <w:rPr>
          <w:iCs/>
          <w:lang w:val="hr-HR"/>
        </w:rPr>
        <w:t>Sredstva komunalne naknade namijenjena su financiranju obavljanja ovih komunalnih djelatnosti:</w:t>
      </w:r>
    </w:p>
    <w:p w14:paraId="414D967B" w14:textId="77777777" w:rsidR="0058022B" w:rsidRPr="004259B4" w:rsidRDefault="0058022B" w:rsidP="0026048D">
      <w:pPr>
        <w:pStyle w:val="ListParagraph"/>
        <w:numPr>
          <w:ilvl w:val="0"/>
          <w:numId w:val="14"/>
        </w:numPr>
        <w:ind w:left="1418" w:hanging="426"/>
        <w:jc w:val="both"/>
        <w:rPr>
          <w:iCs/>
          <w:lang w:val="hr-HR"/>
        </w:rPr>
      </w:pPr>
      <w:r w:rsidRPr="004259B4">
        <w:rPr>
          <w:iCs/>
          <w:lang w:val="hr-HR"/>
        </w:rPr>
        <w:t>odvodnja atmosferskih voda</w:t>
      </w:r>
      <w:r w:rsidR="008C4582" w:rsidRPr="004259B4">
        <w:rPr>
          <w:iCs/>
          <w:lang w:val="hr-HR"/>
        </w:rPr>
        <w:t>,</w:t>
      </w:r>
    </w:p>
    <w:p w14:paraId="5892C7DF" w14:textId="77777777" w:rsidR="0058022B" w:rsidRPr="004259B4" w:rsidRDefault="0058022B" w:rsidP="0026048D">
      <w:pPr>
        <w:pStyle w:val="ListParagraph"/>
        <w:numPr>
          <w:ilvl w:val="0"/>
          <w:numId w:val="14"/>
        </w:numPr>
        <w:ind w:left="1418" w:hanging="426"/>
        <w:jc w:val="both"/>
        <w:rPr>
          <w:iCs/>
          <w:lang w:val="hr-HR"/>
        </w:rPr>
      </w:pPr>
      <w:r w:rsidRPr="004259B4">
        <w:rPr>
          <w:iCs/>
          <w:lang w:val="hr-HR"/>
        </w:rPr>
        <w:t>održavanje čistoće u dijelu koji se odnosi na čišćenje javnih površina</w:t>
      </w:r>
      <w:r w:rsidR="008C4582" w:rsidRPr="004259B4">
        <w:rPr>
          <w:iCs/>
          <w:lang w:val="hr-HR"/>
        </w:rPr>
        <w:t>,</w:t>
      </w:r>
    </w:p>
    <w:p w14:paraId="120A9207" w14:textId="77777777" w:rsidR="0058022B" w:rsidRPr="004259B4" w:rsidRDefault="0058022B" w:rsidP="0026048D">
      <w:pPr>
        <w:pStyle w:val="ListParagraph"/>
        <w:numPr>
          <w:ilvl w:val="0"/>
          <w:numId w:val="14"/>
        </w:numPr>
        <w:ind w:left="1418" w:hanging="426"/>
        <w:jc w:val="both"/>
        <w:rPr>
          <w:iCs/>
          <w:lang w:val="hr-HR"/>
        </w:rPr>
      </w:pPr>
      <w:r w:rsidRPr="004259B4">
        <w:rPr>
          <w:iCs/>
          <w:lang w:val="hr-HR"/>
        </w:rPr>
        <w:t>održavanje javnih površina</w:t>
      </w:r>
      <w:r w:rsidR="008C4582" w:rsidRPr="004259B4">
        <w:rPr>
          <w:iCs/>
          <w:lang w:val="hr-HR"/>
        </w:rPr>
        <w:t>,</w:t>
      </w:r>
    </w:p>
    <w:p w14:paraId="3A90CC1E" w14:textId="77777777" w:rsidR="0058022B" w:rsidRPr="004259B4" w:rsidRDefault="0058022B" w:rsidP="0026048D">
      <w:pPr>
        <w:pStyle w:val="ListParagraph"/>
        <w:numPr>
          <w:ilvl w:val="0"/>
          <w:numId w:val="14"/>
        </w:numPr>
        <w:ind w:left="1418" w:hanging="426"/>
        <w:jc w:val="both"/>
        <w:rPr>
          <w:iCs/>
          <w:lang w:val="hr-HR"/>
        </w:rPr>
      </w:pPr>
      <w:r w:rsidRPr="004259B4">
        <w:rPr>
          <w:iCs/>
          <w:lang w:val="hr-HR"/>
        </w:rPr>
        <w:t>održavanje nerazvrstanih cesta</w:t>
      </w:r>
      <w:r w:rsidR="008C4582" w:rsidRPr="004259B4">
        <w:rPr>
          <w:iCs/>
          <w:lang w:val="hr-HR"/>
        </w:rPr>
        <w:t>,</w:t>
      </w:r>
    </w:p>
    <w:p w14:paraId="5FF36FDE" w14:textId="77777777" w:rsidR="0058022B" w:rsidRPr="004259B4" w:rsidRDefault="0058022B" w:rsidP="0026048D">
      <w:pPr>
        <w:pStyle w:val="ListParagraph"/>
        <w:numPr>
          <w:ilvl w:val="0"/>
          <w:numId w:val="14"/>
        </w:numPr>
        <w:ind w:left="1418" w:hanging="426"/>
        <w:jc w:val="both"/>
        <w:rPr>
          <w:iCs/>
          <w:lang w:val="hr-HR"/>
        </w:rPr>
      </w:pPr>
      <w:r w:rsidRPr="004259B4">
        <w:rPr>
          <w:iCs/>
          <w:lang w:val="hr-HR"/>
        </w:rPr>
        <w:t>održavanje groblja i krematorija</w:t>
      </w:r>
      <w:r w:rsidR="008C4582" w:rsidRPr="004259B4">
        <w:rPr>
          <w:iCs/>
          <w:lang w:val="hr-HR"/>
        </w:rPr>
        <w:t>,</w:t>
      </w:r>
    </w:p>
    <w:p w14:paraId="191770BE" w14:textId="77777777" w:rsidR="0058022B" w:rsidRPr="004259B4" w:rsidRDefault="008C4582" w:rsidP="0026048D">
      <w:pPr>
        <w:pStyle w:val="ListParagraph"/>
        <w:numPr>
          <w:ilvl w:val="0"/>
          <w:numId w:val="14"/>
        </w:numPr>
        <w:ind w:left="1418" w:hanging="426"/>
        <w:jc w:val="both"/>
        <w:rPr>
          <w:iCs/>
          <w:lang w:val="hr-HR"/>
        </w:rPr>
      </w:pPr>
      <w:r w:rsidRPr="004259B4">
        <w:rPr>
          <w:iCs/>
          <w:lang w:val="hr-HR"/>
        </w:rPr>
        <w:t>javna rasvjeta.</w:t>
      </w:r>
    </w:p>
    <w:p w14:paraId="334CDB60" w14:textId="77777777" w:rsidR="008C4582" w:rsidRPr="004259B4" w:rsidRDefault="008C4582" w:rsidP="0026048D">
      <w:pPr>
        <w:ind w:firstLine="720"/>
        <w:jc w:val="both"/>
        <w:rPr>
          <w:iCs/>
          <w:lang w:val="hr-HR"/>
        </w:rPr>
      </w:pPr>
      <w:r w:rsidRPr="004259B4">
        <w:rPr>
          <w:iCs/>
          <w:lang w:val="hr-HR"/>
        </w:rPr>
        <w:t>Sredstva komunalne naknade namijenjena su također i financiranju objekata i uređaja komunalne infrastrukture.</w:t>
      </w:r>
    </w:p>
    <w:p w14:paraId="2688CE1D" w14:textId="77777777" w:rsidR="0058022B" w:rsidRPr="004259B4" w:rsidRDefault="0058022B">
      <w:pPr>
        <w:jc w:val="both"/>
        <w:rPr>
          <w:iCs/>
          <w:lang w:val="hr-HR"/>
        </w:rPr>
      </w:pPr>
    </w:p>
    <w:p w14:paraId="6957F903" w14:textId="77777777" w:rsidR="0058022B" w:rsidRPr="004259B4" w:rsidRDefault="0058022B">
      <w:pPr>
        <w:jc w:val="center"/>
        <w:rPr>
          <w:b/>
          <w:bCs/>
          <w:iCs/>
          <w:lang w:val="hr-HR"/>
        </w:rPr>
      </w:pPr>
      <w:r w:rsidRPr="004259B4">
        <w:rPr>
          <w:b/>
          <w:bCs/>
          <w:iCs/>
          <w:lang w:val="hr-HR"/>
        </w:rPr>
        <w:t>Članak 3.</w:t>
      </w:r>
    </w:p>
    <w:p w14:paraId="6EF8D70E" w14:textId="77777777" w:rsidR="0058022B" w:rsidRPr="004259B4" w:rsidRDefault="0058022B" w:rsidP="0026048D">
      <w:pPr>
        <w:ind w:firstLine="720"/>
        <w:jc w:val="both"/>
        <w:rPr>
          <w:iCs/>
          <w:lang w:val="hr-HR"/>
        </w:rPr>
      </w:pPr>
      <w:r w:rsidRPr="004259B4">
        <w:rPr>
          <w:iCs/>
          <w:lang w:val="hr-HR"/>
        </w:rPr>
        <w:t>Gradsko vijeće Grada Samobora za svaku kalendarsku godinu u skladu s predvidivim sredstvima i izvorima financiranja donosi program održavanja komunalne infrastrukture za djelatnost</w:t>
      </w:r>
      <w:r w:rsidR="0095111F" w:rsidRPr="004259B4">
        <w:rPr>
          <w:iCs/>
          <w:lang w:val="hr-HR"/>
        </w:rPr>
        <w:t>i</w:t>
      </w:r>
      <w:r w:rsidRPr="004259B4">
        <w:rPr>
          <w:iCs/>
          <w:lang w:val="hr-HR"/>
        </w:rPr>
        <w:t xml:space="preserve"> iz članka 2. ove odluke.</w:t>
      </w:r>
    </w:p>
    <w:p w14:paraId="5B5F34A9" w14:textId="77777777" w:rsidR="0058022B" w:rsidRPr="004259B4" w:rsidRDefault="00C056CE" w:rsidP="0026048D">
      <w:pPr>
        <w:ind w:firstLine="720"/>
        <w:jc w:val="both"/>
        <w:rPr>
          <w:iCs/>
          <w:lang w:val="hr-HR"/>
        </w:rPr>
      </w:pPr>
      <w:r w:rsidRPr="004259B4">
        <w:rPr>
          <w:iCs/>
          <w:lang w:val="hr-HR"/>
        </w:rPr>
        <w:t>Gradonačelnik</w:t>
      </w:r>
      <w:r w:rsidR="0058022B" w:rsidRPr="004259B4">
        <w:rPr>
          <w:iCs/>
          <w:lang w:val="hr-HR"/>
        </w:rPr>
        <w:t xml:space="preserve"> Grada Samobora duž</w:t>
      </w:r>
      <w:r w:rsidRPr="004259B4">
        <w:rPr>
          <w:iCs/>
          <w:lang w:val="hr-HR"/>
        </w:rPr>
        <w:t>a</w:t>
      </w:r>
      <w:r w:rsidR="0058022B" w:rsidRPr="004259B4">
        <w:rPr>
          <w:iCs/>
          <w:lang w:val="hr-HR"/>
        </w:rPr>
        <w:t>n je do kraja ožujka svake godine Gradskom vijeću Grada Samobora podnijeti izvješće o izvršenju Programa iz stavka 1. ovoga članka, za prethodnu kalendarsku godinu.</w:t>
      </w:r>
    </w:p>
    <w:p w14:paraId="6E742BE8" w14:textId="77777777" w:rsidR="0058022B" w:rsidRPr="004259B4" w:rsidRDefault="0058022B">
      <w:pPr>
        <w:jc w:val="both"/>
        <w:rPr>
          <w:iCs/>
          <w:lang w:val="hr-HR"/>
        </w:rPr>
      </w:pPr>
    </w:p>
    <w:p w14:paraId="79C54E6D" w14:textId="77777777" w:rsidR="002A0EE2" w:rsidRPr="004259B4" w:rsidRDefault="002A0EE2">
      <w:pPr>
        <w:rPr>
          <w:b/>
          <w:bCs/>
          <w:iCs/>
          <w:sz w:val="26"/>
          <w:lang w:val="hr-HR"/>
        </w:rPr>
      </w:pPr>
      <w:r w:rsidRPr="004259B4">
        <w:rPr>
          <w:lang w:val="hr-HR"/>
        </w:rPr>
        <w:br w:type="page"/>
      </w:r>
    </w:p>
    <w:p w14:paraId="215EA236" w14:textId="3675E2CC" w:rsidR="0058022B" w:rsidRPr="004259B4" w:rsidRDefault="0058022B" w:rsidP="00C94F2A">
      <w:pPr>
        <w:pStyle w:val="Heading9"/>
        <w:numPr>
          <w:ilvl w:val="0"/>
          <w:numId w:val="21"/>
        </w:numPr>
        <w:jc w:val="left"/>
        <w:rPr>
          <w:sz w:val="24"/>
          <w:lang w:val="hr-HR"/>
        </w:rPr>
      </w:pPr>
      <w:r w:rsidRPr="004259B4">
        <w:rPr>
          <w:sz w:val="24"/>
          <w:lang w:val="hr-HR"/>
        </w:rPr>
        <w:lastRenderedPageBreak/>
        <w:t>NASELJA U KOJIMA SE PLAĆA KOMUNALNA NAKNADA</w:t>
      </w:r>
    </w:p>
    <w:p w14:paraId="4681B9C6" w14:textId="77777777" w:rsidR="0058022B" w:rsidRPr="004259B4" w:rsidRDefault="0058022B" w:rsidP="00C94F2A">
      <w:pPr>
        <w:rPr>
          <w:bCs/>
          <w:iCs/>
          <w:lang w:val="hr-HR"/>
        </w:rPr>
      </w:pPr>
    </w:p>
    <w:p w14:paraId="79C0B7B2" w14:textId="77777777" w:rsidR="0058022B" w:rsidRPr="004259B4" w:rsidRDefault="0058022B">
      <w:pPr>
        <w:jc w:val="center"/>
        <w:rPr>
          <w:b/>
          <w:bCs/>
          <w:iCs/>
          <w:lang w:val="hr-HR"/>
        </w:rPr>
      </w:pPr>
      <w:r w:rsidRPr="004259B4">
        <w:rPr>
          <w:b/>
          <w:bCs/>
          <w:iCs/>
          <w:lang w:val="hr-HR"/>
        </w:rPr>
        <w:t>Članak 4.</w:t>
      </w:r>
    </w:p>
    <w:p w14:paraId="71540E8A" w14:textId="311CE636" w:rsidR="0058022B" w:rsidRPr="004259B4" w:rsidRDefault="00F61D2B" w:rsidP="0026048D">
      <w:pPr>
        <w:ind w:firstLine="720"/>
        <w:jc w:val="both"/>
        <w:rPr>
          <w:iCs/>
          <w:lang w:val="hr-HR"/>
        </w:rPr>
      </w:pPr>
      <w:r w:rsidRPr="004259B4">
        <w:rPr>
          <w:iCs/>
          <w:lang w:val="hr-HR"/>
        </w:rPr>
        <w:t>K</w:t>
      </w:r>
      <w:r w:rsidR="0058022B" w:rsidRPr="004259B4">
        <w:rPr>
          <w:iCs/>
          <w:lang w:val="hr-HR"/>
        </w:rPr>
        <w:t>omunalna naknada plaća se</w:t>
      </w:r>
      <w:r w:rsidRPr="004259B4">
        <w:rPr>
          <w:iCs/>
          <w:lang w:val="hr-HR"/>
        </w:rPr>
        <w:t xml:space="preserve"> na području grada Samobora i </w:t>
      </w:r>
      <w:r w:rsidR="00C94F2A" w:rsidRPr="004259B4">
        <w:rPr>
          <w:iCs/>
          <w:lang w:val="hr-HR"/>
        </w:rPr>
        <w:t xml:space="preserve">u </w:t>
      </w:r>
      <w:r w:rsidRPr="004259B4">
        <w:rPr>
          <w:iCs/>
          <w:lang w:val="hr-HR"/>
        </w:rPr>
        <w:t>sljedećim mjestima i naseljima</w:t>
      </w:r>
      <w:r w:rsidR="0058022B" w:rsidRPr="004259B4">
        <w:rPr>
          <w:iCs/>
          <w:lang w:val="hr-HR"/>
        </w:rPr>
        <w:t>:</w:t>
      </w:r>
    </w:p>
    <w:p w14:paraId="40BEAD1C" w14:textId="77777777" w:rsidR="0058022B" w:rsidRPr="004259B4" w:rsidRDefault="00F569E4" w:rsidP="00CA6F22">
      <w:pPr>
        <w:ind w:left="851" w:right="565"/>
        <w:jc w:val="both"/>
        <w:rPr>
          <w:iCs/>
          <w:lang w:val="hr-HR"/>
        </w:rPr>
      </w:pPr>
      <w:r w:rsidRPr="004259B4">
        <w:rPr>
          <w:iCs/>
          <w:lang w:val="hr-HR"/>
        </w:rPr>
        <w:t>Beder, Bobovica, Braslovje, Bratelji, Bregana, Breganica, Brezovac Žumberački, Budinjak, Bukovje Podvrško, Celine Samoborske, Cerje Samoborsko, Cerovica, Dane, Dolec Podokićki, Domaslovec, Draganje Selo, Dragonoš, Drežnik Podokićki, Dubrava Samoborska, Falašćak, Farkaševec Samoborski, Galgovo, Golubići, Gornja Vas, Gradna, Grdanjci, Gregurić Breg, Hrastina Samoborska, Jarušje, Javorek, Kladje, Klake, Klokočevec Samoborski, Konšćica, Kostanjevec Podvrški, Kotari, Kravljak, Lug Samoborski, Mala Jazbina, Mala Rakovica, Mali Lipovec, Manja Vas, Medsave, Molvice, Noršić Selo, Novo Selo Žumberačko, Osredek Žumberački, Osunja, Otruševec, Pavučnjak, Petkov Breg, Podgrađe Podokićko, Podvrh, Poklek, Prekrižje Plešivičko, Rakov Potok, Rude, Samoborski Otok, Savršćak, Selce Žumberačko, Sječevac, Slani Dol, Slapnica, Slavagora, Smerovišće, Stojdraga, Sveti Martin pod Okićem, Šimraki, Šipački Breg, Tisovac Žumberački, Velika Jazbina, Velika Rakovica, Veliki Lipovec, Višnjevec Podvrški, Vratnik Samoborski, Vrbovec Samoborski, Vrhovčak</w:t>
      </w:r>
      <w:r w:rsidR="00A27522" w:rsidRPr="004259B4">
        <w:rPr>
          <w:iCs/>
          <w:lang w:val="hr-HR"/>
        </w:rPr>
        <w:t>.</w:t>
      </w:r>
      <w:r w:rsidR="00581153" w:rsidRPr="004259B4">
        <w:rPr>
          <w:iCs/>
          <w:lang w:val="hr-HR"/>
        </w:rPr>
        <w:t xml:space="preserve"> </w:t>
      </w:r>
    </w:p>
    <w:p w14:paraId="6E03D114" w14:textId="77777777" w:rsidR="005D7E6A" w:rsidRPr="004259B4" w:rsidRDefault="005D7E6A" w:rsidP="005D7E6A">
      <w:pPr>
        <w:rPr>
          <w:lang w:val="hr-HR"/>
        </w:rPr>
      </w:pPr>
    </w:p>
    <w:p w14:paraId="2378D82A" w14:textId="77777777" w:rsidR="00771B09" w:rsidRPr="004259B4" w:rsidRDefault="00771B09" w:rsidP="005D7E6A">
      <w:pPr>
        <w:rPr>
          <w:lang w:val="hr-HR"/>
        </w:rPr>
      </w:pPr>
    </w:p>
    <w:p w14:paraId="6E098C4F" w14:textId="77777777" w:rsidR="0058022B" w:rsidRPr="004259B4" w:rsidRDefault="0058022B" w:rsidP="00CF326D">
      <w:pPr>
        <w:pStyle w:val="Heading9"/>
        <w:jc w:val="left"/>
        <w:rPr>
          <w:lang w:val="hr-HR"/>
        </w:rPr>
      </w:pPr>
      <w:r w:rsidRPr="004259B4">
        <w:rPr>
          <w:lang w:val="hr-HR"/>
        </w:rPr>
        <w:t>III. OBVEZNICI PLAĆANJA KOMUNALNE NAKNADE</w:t>
      </w:r>
    </w:p>
    <w:p w14:paraId="7F58B6B8" w14:textId="77777777" w:rsidR="0058022B" w:rsidRPr="004259B4" w:rsidRDefault="0058022B">
      <w:pPr>
        <w:jc w:val="both"/>
        <w:rPr>
          <w:iCs/>
          <w:lang w:val="hr-HR"/>
        </w:rPr>
      </w:pPr>
    </w:p>
    <w:p w14:paraId="0966B326" w14:textId="77777777" w:rsidR="0058022B" w:rsidRPr="004259B4" w:rsidRDefault="0058022B">
      <w:pPr>
        <w:jc w:val="center"/>
        <w:rPr>
          <w:b/>
          <w:bCs/>
          <w:iCs/>
          <w:lang w:val="hr-HR"/>
        </w:rPr>
      </w:pPr>
      <w:r w:rsidRPr="004259B4">
        <w:rPr>
          <w:b/>
          <w:bCs/>
          <w:iCs/>
          <w:lang w:val="hr-HR"/>
        </w:rPr>
        <w:t>Članak 5.</w:t>
      </w:r>
    </w:p>
    <w:p w14:paraId="43F3677C" w14:textId="77777777" w:rsidR="0058022B" w:rsidRPr="004259B4" w:rsidRDefault="0058022B" w:rsidP="0026048D">
      <w:pPr>
        <w:ind w:firstLine="709"/>
        <w:jc w:val="both"/>
        <w:rPr>
          <w:iCs/>
          <w:lang w:val="hr-HR"/>
        </w:rPr>
      </w:pPr>
      <w:r w:rsidRPr="004259B4">
        <w:rPr>
          <w:iCs/>
          <w:lang w:val="hr-HR"/>
        </w:rPr>
        <w:t>Komunalnu naknadu plaćaju vlasnici, odnosno korisnici:</w:t>
      </w:r>
    </w:p>
    <w:p w14:paraId="6BD5E01A" w14:textId="77777777" w:rsidR="0058022B" w:rsidRPr="004259B4" w:rsidRDefault="0058022B" w:rsidP="0026048D">
      <w:pPr>
        <w:pStyle w:val="ListParagraph"/>
        <w:numPr>
          <w:ilvl w:val="0"/>
          <w:numId w:val="16"/>
        </w:numPr>
        <w:ind w:left="1418" w:hanging="425"/>
        <w:jc w:val="both"/>
        <w:rPr>
          <w:iCs/>
          <w:lang w:val="hr-HR"/>
        </w:rPr>
      </w:pPr>
      <w:r w:rsidRPr="004259B4">
        <w:rPr>
          <w:iCs/>
          <w:lang w:val="hr-HR"/>
        </w:rPr>
        <w:t>stambenog prostora</w:t>
      </w:r>
      <w:r w:rsidR="00BC03EC" w:rsidRPr="004259B4">
        <w:rPr>
          <w:iCs/>
          <w:lang w:val="hr-HR"/>
        </w:rPr>
        <w:t>,</w:t>
      </w:r>
    </w:p>
    <w:p w14:paraId="07034068" w14:textId="77777777" w:rsidR="0058022B" w:rsidRPr="004259B4" w:rsidRDefault="0058022B" w:rsidP="0026048D">
      <w:pPr>
        <w:pStyle w:val="ListParagraph"/>
        <w:numPr>
          <w:ilvl w:val="0"/>
          <w:numId w:val="16"/>
        </w:numPr>
        <w:ind w:left="1418" w:hanging="425"/>
        <w:jc w:val="both"/>
        <w:rPr>
          <w:iCs/>
          <w:lang w:val="hr-HR"/>
        </w:rPr>
      </w:pPr>
      <w:r w:rsidRPr="004259B4">
        <w:rPr>
          <w:iCs/>
          <w:lang w:val="hr-HR"/>
        </w:rPr>
        <w:t>poslovnog prostora</w:t>
      </w:r>
      <w:r w:rsidR="00BC03EC" w:rsidRPr="004259B4">
        <w:rPr>
          <w:iCs/>
          <w:lang w:val="hr-HR"/>
        </w:rPr>
        <w:t>,</w:t>
      </w:r>
    </w:p>
    <w:p w14:paraId="22CA8C1B" w14:textId="77777777" w:rsidR="0058022B" w:rsidRPr="004259B4" w:rsidRDefault="0058022B" w:rsidP="0026048D">
      <w:pPr>
        <w:pStyle w:val="ListParagraph"/>
        <w:numPr>
          <w:ilvl w:val="0"/>
          <w:numId w:val="16"/>
        </w:numPr>
        <w:ind w:left="1418" w:hanging="425"/>
        <w:jc w:val="both"/>
        <w:rPr>
          <w:iCs/>
          <w:lang w:val="hr-HR"/>
        </w:rPr>
      </w:pPr>
      <w:r w:rsidRPr="004259B4">
        <w:rPr>
          <w:iCs/>
          <w:lang w:val="hr-HR"/>
        </w:rPr>
        <w:t>garažnog prostora</w:t>
      </w:r>
      <w:r w:rsidR="00BC03EC" w:rsidRPr="004259B4">
        <w:rPr>
          <w:iCs/>
          <w:lang w:val="hr-HR"/>
        </w:rPr>
        <w:t>,</w:t>
      </w:r>
    </w:p>
    <w:p w14:paraId="4F6DB5BC" w14:textId="77777777" w:rsidR="0058022B" w:rsidRPr="004259B4" w:rsidRDefault="0058022B" w:rsidP="0026048D">
      <w:pPr>
        <w:pStyle w:val="ListParagraph"/>
        <w:numPr>
          <w:ilvl w:val="0"/>
          <w:numId w:val="16"/>
        </w:numPr>
        <w:ind w:left="1418" w:hanging="425"/>
        <w:jc w:val="both"/>
        <w:rPr>
          <w:iCs/>
          <w:lang w:val="hr-HR"/>
        </w:rPr>
      </w:pPr>
      <w:r w:rsidRPr="004259B4">
        <w:rPr>
          <w:iCs/>
          <w:lang w:val="hr-HR"/>
        </w:rPr>
        <w:t>građevnog zemljišta koje služi u svrhu obavljanja poslovne djelatnosti</w:t>
      </w:r>
      <w:r w:rsidR="00BC03EC" w:rsidRPr="004259B4">
        <w:rPr>
          <w:iCs/>
          <w:lang w:val="hr-HR"/>
        </w:rPr>
        <w:t>,</w:t>
      </w:r>
    </w:p>
    <w:p w14:paraId="3EE1C38A" w14:textId="77777777" w:rsidR="0058022B" w:rsidRPr="004259B4" w:rsidRDefault="0058022B" w:rsidP="0026048D">
      <w:pPr>
        <w:pStyle w:val="ListParagraph"/>
        <w:numPr>
          <w:ilvl w:val="0"/>
          <w:numId w:val="16"/>
        </w:numPr>
        <w:ind w:left="1418" w:hanging="425"/>
        <w:jc w:val="both"/>
        <w:rPr>
          <w:iCs/>
          <w:lang w:val="hr-HR"/>
        </w:rPr>
      </w:pPr>
      <w:r w:rsidRPr="004259B4">
        <w:rPr>
          <w:iCs/>
          <w:lang w:val="hr-HR"/>
        </w:rPr>
        <w:t>neizgrađenog</w:t>
      </w:r>
      <w:r w:rsidR="00BC03EC" w:rsidRPr="004259B4">
        <w:rPr>
          <w:iCs/>
          <w:lang w:val="hr-HR"/>
        </w:rPr>
        <w:t>a</w:t>
      </w:r>
      <w:r w:rsidRPr="004259B4">
        <w:rPr>
          <w:iCs/>
          <w:lang w:val="hr-HR"/>
        </w:rPr>
        <w:t xml:space="preserve"> građevnog zemljišta.</w:t>
      </w:r>
    </w:p>
    <w:p w14:paraId="76176197" w14:textId="77777777" w:rsidR="0058022B" w:rsidRPr="004259B4" w:rsidRDefault="0058022B">
      <w:pPr>
        <w:jc w:val="both"/>
        <w:rPr>
          <w:iCs/>
          <w:lang w:val="hr-HR"/>
        </w:rPr>
      </w:pPr>
    </w:p>
    <w:p w14:paraId="7A07E399" w14:textId="77777777" w:rsidR="0058022B" w:rsidRPr="004259B4" w:rsidRDefault="0058022B">
      <w:pPr>
        <w:jc w:val="center"/>
        <w:rPr>
          <w:b/>
          <w:bCs/>
          <w:iCs/>
          <w:lang w:val="hr-HR"/>
        </w:rPr>
      </w:pPr>
      <w:r w:rsidRPr="004259B4">
        <w:rPr>
          <w:b/>
          <w:bCs/>
          <w:iCs/>
          <w:lang w:val="hr-HR"/>
        </w:rPr>
        <w:t>Članak 6.</w:t>
      </w:r>
    </w:p>
    <w:p w14:paraId="1BB36DA1" w14:textId="77777777" w:rsidR="0058022B" w:rsidRPr="004259B4" w:rsidRDefault="0058022B" w:rsidP="0026048D">
      <w:pPr>
        <w:ind w:firstLine="709"/>
        <w:jc w:val="both"/>
        <w:rPr>
          <w:iCs/>
          <w:lang w:val="hr-HR"/>
        </w:rPr>
      </w:pPr>
      <w:r w:rsidRPr="004259B4">
        <w:rPr>
          <w:iCs/>
          <w:lang w:val="hr-HR"/>
        </w:rPr>
        <w:t>Komunalna naknada ne plaća se za nekretnine:</w:t>
      </w:r>
    </w:p>
    <w:p w14:paraId="4D817581" w14:textId="77777777" w:rsidR="0058022B" w:rsidRPr="004259B4" w:rsidRDefault="0058022B" w:rsidP="0026048D">
      <w:pPr>
        <w:pStyle w:val="ListParagraph"/>
        <w:numPr>
          <w:ilvl w:val="0"/>
          <w:numId w:val="8"/>
        </w:numPr>
        <w:ind w:left="1418" w:hanging="425"/>
        <w:jc w:val="both"/>
        <w:rPr>
          <w:iCs/>
          <w:lang w:val="hr-HR"/>
        </w:rPr>
      </w:pPr>
      <w:r w:rsidRPr="004259B4">
        <w:rPr>
          <w:iCs/>
          <w:lang w:val="hr-HR"/>
        </w:rPr>
        <w:t>kojima se koristi Hrvatska vojska za djelatne potrebe obrane (vojarne, vježbališta i sl.)</w:t>
      </w:r>
      <w:r w:rsidR="003258D6" w:rsidRPr="004259B4">
        <w:rPr>
          <w:iCs/>
          <w:lang w:val="hr-HR"/>
        </w:rPr>
        <w:t>,</w:t>
      </w:r>
    </w:p>
    <w:p w14:paraId="7A85C2A8" w14:textId="77777777" w:rsidR="0058022B" w:rsidRPr="004259B4" w:rsidRDefault="0058022B" w:rsidP="0026048D">
      <w:pPr>
        <w:pStyle w:val="ListParagraph"/>
        <w:numPr>
          <w:ilvl w:val="0"/>
          <w:numId w:val="8"/>
        </w:numPr>
        <w:ind w:left="1418" w:hanging="425"/>
        <w:jc w:val="both"/>
        <w:rPr>
          <w:iCs/>
          <w:lang w:val="hr-HR"/>
        </w:rPr>
      </w:pPr>
      <w:r w:rsidRPr="004259B4">
        <w:rPr>
          <w:iCs/>
          <w:lang w:val="hr-HR"/>
        </w:rPr>
        <w:t xml:space="preserve">koje se upotrebljavaju za djelatnost javnoga predškolskoga, osnovnoga, srednjega i </w:t>
      </w:r>
      <w:r w:rsidR="003258D6" w:rsidRPr="004259B4">
        <w:rPr>
          <w:iCs/>
          <w:lang w:val="hr-HR"/>
        </w:rPr>
        <w:t>visokog obrazovanja, muzeja</w:t>
      </w:r>
      <w:r w:rsidRPr="004259B4">
        <w:rPr>
          <w:iCs/>
          <w:lang w:val="hr-HR"/>
        </w:rPr>
        <w:t xml:space="preserve"> i arhiva</w:t>
      </w:r>
      <w:r w:rsidR="003258D6" w:rsidRPr="004259B4">
        <w:rPr>
          <w:iCs/>
          <w:lang w:val="hr-HR"/>
        </w:rPr>
        <w:t>,</w:t>
      </w:r>
    </w:p>
    <w:p w14:paraId="78899D57" w14:textId="77777777" w:rsidR="0058022B" w:rsidRPr="004259B4" w:rsidRDefault="0058022B" w:rsidP="0026048D">
      <w:pPr>
        <w:pStyle w:val="ListParagraph"/>
        <w:numPr>
          <w:ilvl w:val="0"/>
          <w:numId w:val="8"/>
        </w:numPr>
        <w:ind w:left="1418" w:hanging="425"/>
        <w:jc w:val="both"/>
        <w:rPr>
          <w:iCs/>
          <w:lang w:val="hr-HR"/>
        </w:rPr>
      </w:pPr>
      <w:r w:rsidRPr="004259B4">
        <w:rPr>
          <w:iCs/>
          <w:lang w:val="hr-HR"/>
        </w:rPr>
        <w:t>koje koriste ustanove zdravstvene zaštite i socijalne skrbi u vlasništvu države i županije</w:t>
      </w:r>
      <w:r w:rsidR="003258D6" w:rsidRPr="004259B4">
        <w:rPr>
          <w:iCs/>
          <w:lang w:val="hr-HR"/>
        </w:rPr>
        <w:t>,</w:t>
      </w:r>
    </w:p>
    <w:p w14:paraId="52660B9D" w14:textId="77777777" w:rsidR="0058022B" w:rsidRPr="004259B4" w:rsidRDefault="0058022B" w:rsidP="0026048D">
      <w:pPr>
        <w:pStyle w:val="ListParagraph"/>
        <w:numPr>
          <w:ilvl w:val="0"/>
          <w:numId w:val="8"/>
        </w:numPr>
        <w:ind w:left="1418" w:hanging="425"/>
        <w:jc w:val="both"/>
        <w:rPr>
          <w:iCs/>
          <w:lang w:val="hr-HR"/>
        </w:rPr>
      </w:pPr>
      <w:r w:rsidRPr="004259B4">
        <w:rPr>
          <w:iCs/>
          <w:lang w:val="hr-HR"/>
        </w:rPr>
        <w:t>koje se upotrebljavaju za djelatnost vatrogasnih službi</w:t>
      </w:r>
      <w:r w:rsidR="003258D6" w:rsidRPr="004259B4">
        <w:rPr>
          <w:iCs/>
          <w:lang w:val="hr-HR"/>
        </w:rPr>
        <w:t>,</w:t>
      </w:r>
    </w:p>
    <w:p w14:paraId="2FD86D5D" w14:textId="77777777" w:rsidR="0058022B" w:rsidRPr="004259B4" w:rsidRDefault="0058022B" w:rsidP="0026048D">
      <w:pPr>
        <w:pStyle w:val="ListParagraph"/>
        <w:numPr>
          <w:ilvl w:val="0"/>
          <w:numId w:val="8"/>
        </w:numPr>
        <w:ind w:left="1418" w:hanging="425"/>
        <w:jc w:val="both"/>
        <w:rPr>
          <w:iCs/>
          <w:lang w:val="hr-HR"/>
        </w:rPr>
      </w:pPr>
      <w:r w:rsidRPr="004259B4">
        <w:rPr>
          <w:iCs/>
          <w:lang w:val="hr-HR"/>
        </w:rPr>
        <w:t>koje služe vjerskim zajednicama za obavljanje njihove vjerske i obrazovne djelatnosti</w:t>
      </w:r>
      <w:r w:rsidR="003258D6" w:rsidRPr="004259B4">
        <w:rPr>
          <w:iCs/>
          <w:lang w:val="hr-HR"/>
        </w:rPr>
        <w:t>,</w:t>
      </w:r>
    </w:p>
    <w:p w14:paraId="1CE84EC5" w14:textId="77777777" w:rsidR="0058022B" w:rsidRPr="004259B4" w:rsidRDefault="0058022B" w:rsidP="0026048D">
      <w:pPr>
        <w:pStyle w:val="ListParagraph"/>
        <w:numPr>
          <w:ilvl w:val="0"/>
          <w:numId w:val="8"/>
        </w:numPr>
        <w:ind w:left="1418" w:hanging="425"/>
        <w:jc w:val="both"/>
        <w:rPr>
          <w:iCs/>
          <w:lang w:val="hr-HR"/>
        </w:rPr>
      </w:pPr>
      <w:r w:rsidRPr="004259B4">
        <w:rPr>
          <w:iCs/>
          <w:lang w:val="hr-HR"/>
        </w:rPr>
        <w:t>za građevna zemljišta na kojima su spomen obilježja, spomen područja i masovne grobnice</w:t>
      </w:r>
      <w:r w:rsidR="003258D6" w:rsidRPr="004259B4">
        <w:rPr>
          <w:iCs/>
          <w:lang w:val="hr-HR"/>
        </w:rPr>
        <w:t>,</w:t>
      </w:r>
    </w:p>
    <w:p w14:paraId="1722A812" w14:textId="77777777" w:rsidR="0058022B" w:rsidRPr="004259B4" w:rsidRDefault="0009296A" w:rsidP="0026048D">
      <w:pPr>
        <w:pStyle w:val="ListParagraph"/>
        <w:numPr>
          <w:ilvl w:val="0"/>
          <w:numId w:val="8"/>
        </w:numPr>
        <w:ind w:left="1418" w:hanging="425"/>
        <w:jc w:val="both"/>
        <w:rPr>
          <w:iCs/>
          <w:lang w:val="hr-HR"/>
        </w:rPr>
      </w:pPr>
      <w:r w:rsidRPr="004259B4">
        <w:rPr>
          <w:iCs/>
          <w:lang w:val="hr-HR"/>
        </w:rPr>
        <w:t>zgrade i zemljišta</w:t>
      </w:r>
      <w:r w:rsidR="0058022B" w:rsidRPr="004259B4">
        <w:rPr>
          <w:iCs/>
          <w:lang w:val="hr-HR"/>
        </w:rPr>
        <w:t xml:space="preserve"> koje su u vlasništvu Grada Samobora ili se djelatnost većinskim dijelom financira iz proračuna</w:t>
      </w:r>
      <w:r w:rsidR="005D7E6A" w:rsidRPr="004259B4">
        <w:rPr>
          <w:iCs/>
          <w:lang w:val="hr-HR"/>
        </w:rPr>
        <w:t xml:space="preserve"> Grada Samobora</w:t>
      </w:r>
      <w:r w:rsidR="003258D6" w:rsidRPr="004259B4">
        <w:rPr>
          <w:iCs/>
          <w:lang w:val="hr-HR"/>
        </w:rPr>
        <w:t>,</w:t>
      </w:r>
    </w:p>
    <w:p w14:paraId="27967F7A" w14:textId="77777777" w:rsidR="0058022B" w:rsidRPr="004259B4" w:rsidRDefault="0058022B" w:rsidP="0026048D">
      <w:pPr>
        <w:pStyle w:val="ListParagraph"/>
        <w:numPr>
          <w:ilvl w:val="0"/>
          <w:numId w:val="8"/>
        </w:numPr>
        <w:ind w:left="1418" w:hanging="425"/>
        <w:jc w:val="both"/>
        <w:rPr>
          <w:iCs/>
          <w:lang w:val="hr-HR"/>
        </w:rPr>
      </w:pPr>
      <w:r w:rsidRPr="004259B4">
        <w:rPr>
          <w:iCs/>
          <w:lang w:val="hr-HR"/>
        </w:rPr>
        <w:t>zemljišta na kojima se nalaze komunalni objekti i uređaji komunalnih poduzeća za vodoopskrbu i odvodnju, za održavanje komunalija zajedničke potrošnje osim uredskih prostorija, zemljišta i objekti za spremanje i likvidaciju otpada (deponije i spalionice)</w:t>
      </w:r>
      <w:r w:rsidR="003258D6" w:rsidRPr="004259B4">
        <w:rPr>
          <w:iCs/>
          <w:lang w:val="hr-HR"/>
        </w:rPr>
        <w:t>,</w:t>
      </w:r>
    </w:p>
    <w:p w14:paraId="53A522FE" w14:textId="77777777" w:rsidR="0058022B" w:rsidRPr="004259B4" w:rsidRDefault="0058022B" w:rsidP="0026048D">
      <w:pPr>
        <w:pStyle w:val="ListParagraph"/>
        <w:numPr>
          <w:ilvl w:val="0"/>
          <w:numId w:val="8"/>
        </w:numPr>
        <w:ind w:left="1418" w:hanging="425"/>
        <w:jc w:val="both"/>
        <w:rPr>
          <w:iCs/>
          <w:lang w:val="hr-HR"/>
        </w:rPr>
      </w:pPr>
      <w:r w:rsidRPr="004259B4">
        <w:rPr>
          <w:iCs/>
          <w:lang w:val="hr-HR"/>
        </w:rPr>
        <w:t>gospodarske zgrade poljodjelaca s dvorištem</w:t>
      </w:r>
      <w:r w:rsidR="00DF113A" w:rsidRPr="004259B4">
        <w:rPr>
          <w:iCs/>
          <w:lang w:val="hr-HR"/>
        </w:rPr>
        <w:t>.</w:t>
      </w:r>
    </w:p>
    <w:p w14:paraId="013C428B" w14:textId="77777777" w:rsidR="0058022B" w:rsidRPr="004259B4" w:rsidRDefault="005D7E6A" w:rsidP="0026048D">
      <w:pPr>
        <w:ind w:firstLine="709"/>
        <w:jc w:val="both"/>
        <w:rPr>
          <w:iCs/>
          <w:lang w:val="hr-HR"/>
        </w:rPr>
      </w:pPr>
      <w:r w:rsidRPr="004259B4">
        <w:rPr>
          <w:iCs/>
          <w:lang w:val="hr-HR"/>
        </w:rPr>
        <w:lastRenderedPageBreak/>
        <w:t>Za nekretnine</w:t>
      </w:r>
      <w:r w:rsidR="0058022B" w:rsidRPr="004259B4">
        <w:rPr>
          <w:iCs/>
          <w:lang w:val="hr-HR"/>
        </w:rPr>
        <w:t xml:space="preserve"> iz stavka 1. ovoga članka komunaln</w:t>
      </w:r>
      <w:r w:rsidR="00DF113A" w:rsidRPr="004259B4">
        <w:rPr>
          <w:iCs/>
          <w:lang w:val="hr-HR"/>
        </w:rPr>
        <w:t xml:space="preserve">a naknada se plaća </w:t>
      </w:r>
      <w:r w:rsidR="002204CC" w:rsidRPr="004259B4">
        <w:rPr>
          <w:iCs/>
          <w:lang w:val="hr-HR"/>
        </w:rPr>
        <w:t xml:space="preserve">ukoliko ih vlasnici </w:t>
      </w:r>
      <w:r w:rsidR="0058022B" w:rsidRPr="004259B4">
        <w:rPr>
          <w:iCs/>
          <w:lang w:val="hr-HR"/>
        </w:rPr>
        <w:t>daju u najam, podnajam,</w:t>
      </w:r>
      <w:r w:rsidR="00DF113A" w:rsidRPr="004259B4">
        <w:rPr>
          <w:iCs/>
          <w:lang w:val="hr-HR"/>
        </w:rPr>
        <w:t xml:space="preserve"> zakup,</w:t>
      </w:r>
      <w:r w:rsidR="0058022B" w:rsidRPr="004259B4">
        <w:rPr>
          <w:iCs/>
          <w:lang w:val="hr-HR"/>
        </w:rPr>
        <w:t xml:space="preserve"> podzakup ili na privremeno korištenje. </w:t>
      </w:r>
    </w:p>
    <w:p w14:paraId="7FD180EB" w14:textId="77777777" w:rsidR="002204CC" w:rsidRPr="004259B4" w:rsidRDefault="002204CC" w:rsidP="00771B09">
      <w:pPr>
        <w:jc w:val="both"/>
        <w:rPr>
          <w:iCs/>
          <w:lang w:val="hr-HR"/>
        </w:rPr>
      </w:pPr>
    </w:p>
    <w:p w14:paraId="234BC0F1" w14:textId="77777777" w:rsidR="002204CC" w:rsidRPr="004259B4" w:rsidRDefault="002204CC" w:rsidP="00771B09">
      <w:pPr>
        <w:jc w:val="both"/>
        <w:rPr>
          <w:iCs/>
          <w:lang w:val="hr-HR"/>
        </w:rPr>
      </w:pPr>
    </w:p>
    <w:p w14:paraId="2C35AF73" w14:textId="09F9B787" w:rsidR="0058022B" w:rsidRPr="004259B4" w:rsidRDefault="0058022B" w:rsidP="00C94F2A">
      <w:pPr>
        <w:pStyle w:val="Heading9"/>
        <w:numPr>
          <w:ilvl w:val="0"/>
          <w:numId w:val="24"/>
        </w:numPr>
        <w:jc w:val="left"/>
        <w:rPr>
          <w:sz w:val="24"/>
          <w:lang w:val="hr-HR"/>
        </w:rPr>
      </w:pPr>
      <w:r w:rsidRPr="004259B4">
        <w:rPr>
          <w:sz w:val="24"/>
          <w:lang w:val="hr-HR"/>
        </w:rPr>
        <w:t>ODREĐIVANJE VISINE KOMUNALNE NAKNADE</w:t>
      </w:r>
    </w:p>
    <w:p w14:paraId="229896B6" w14:textId="77777777" w:rsidR="0058022B" w:rsidRPr="004259B4" w:rsidRDefault="0058022B">
      <w:pPr>
        <w:jc w:val="both"/>
        <w:rPr>
          <w:iCs/>
          <w:lang w:val="hr-HR"/>
        </w:rPr>
      </w:pPr>
    </w:p>
    <w:p w14:paraId="52DA85FA" w14:textId="77777777" w:rsidR="0058022B" w:rsidRPr="004259B4" w:rsidRDefault="0058022B">
      <w:pPr>
        <w:jc w:val="center"/>
        <w:rPr>
          <w:b/>
          <w:bCs/>
          <w:iCs/>
          <w:lang w:val="hr-HR"/>
        </w:rPr>
      </w:pPr>
      <w:r w:rsidRPr="004259B4">
        <w:rPr>
          <w:b/>
          <w:bCs/>
          <w:iCs/>
          <w:lang w:val="hr-HR"/>
        </w:rPr>
        <w:t>Članak 7.</w:t>
      </w:r>
    </w:p>
    <w:p w14:paraId="2452BB10" w14:textId="77777777" w:rsidR="0058022B" w:rsidRPr="004259B4" w:rsidRDefault="0058022B" w:rsidP="0026048D">
      <w:pPr>
        <w:ind w:firstLine="709"/>
        <w:jc w:val="both"/>
        <w:rPr>
          <w:iCs/>
          <w:lang w:val="hr-HR"/>
        </w:rPr>
      </w:pPr>
      <w:r w:rsidRPr="004259B4">
        <w:rPr>
          <w:iCs/>
          <w:lang w:val="hr-HR"/>
        </w:rPr>
        <w:t>Rješenje o komunalno</w:t>
      </w:r>
      <w:r w:rsidR="00621F04" w:rsidRPr="004259B4">
        <w:rPr>
          <w:iCs/>
          <w:lang w:val="hr-HR"/>
        </w:rPr>
        <w:t xml:space="preserve">j naknadi donosi nadležni </w:t>
      </w:r>
      <w:r w:rsidR="002204CC" w:rsidRPr="004259B4">
        <w:rPr>
          <w:iCs/>
          <w:lang w:val="hr-HR"/>
        </w:rPr>
        <w:t>u</w:t>
      </w:r>
      <w:r w:rsidR="00621F04" w:rsidRPr="004259B4">
        <w:rPr>
          <w:iCs/>
          <w:lang w:val="hr-HR"/>
        </w:rPr>
        <w:t xml:space="preserve">pravni odjel </w:t>
      </w:r>
      <w:r w:rsidRPr="004259B4">
        <w:rPr>
          <w:iCs/>
          <w:lang w:val="hr-HR"/>
        </w:rPr>
        <w:t>Grada Samobora za kalendarsku godinu do 31. ožujka tekuće godine, ako se na osnovi odluke Gradskog vijeća Grada Samobora mijenja njezina visina u odnosu na prethodnu godinu.</w:t>
      </w:r>
    </w:p>
    <w:p w14:paraId="14DF163A" w14:textId="77777777" w:rsidR="0058022B" w:rsidRPr="004259B4" w:rsidRDefault="0058022B">
      <w:pPr>
        <w:jc w:val="both"/>
        <w:rPr>
          <w:iCs/>
          <w:lang w:val="hr-HR"/>
        </w:rPr>
      </w:pPr>
    </w:p>
    <w:p w14:paraId="4D647880" w14:textId="77777777" w:rsidR="0058022B" w:rsidRPr="004259B4" w:rsidRDefault="0058022B">
      <w:pPr>
        <w:jc w:val="center"/>
        <w:rPr>
          <w:b/>
          <w:bCs/>
          <w:iCs/>
          <w:lang w:val="hr-HR"/>
        </w:rPr>
      </w:pPr>
      <w:r w:rsidRPr="004259B4">
        <w:rPr>
          <w:b/>
          <w:bCs/>
          <w:iCs/>
          <w:lang w:val="hr-HR"/>
        </w:rPr>
        <w:t>Članak 8.</w:t>
      </w:r>
    </w:p>
    <w:p w14:paraId="226FA0A4" w14:textId="77777777" w:rsidR="0058022B" w:rsidRPr="004259B4" w:rsidRDefault="0058022B" w:rsidP="0026048D">
      <w:pPr>
        <w:ind w:firstLine="709"/>
        <w:jc w:val="both"/>
        <w:rPr>
          <w:iCs/>
          <w:lang w:val="hr-HR"/>
        </w:rPr>
      </w:pPr>
      <w:r w:rsidRPr="004259B4">
        <w:rPr>
          <w:iCs/>
          <w:lang w:val="hr-HR"/>
        </w:rPr>
        <w:t>Rješenjem o komunalnoj naknadi utvrđuje se visina komunalne naknade po m</w:t>
      </w:r>
      <w:r w:rsidRPr="004259B4">
        <w:rPr>
          <w:iCs/>
          <w:vertAlign w:val="superscript"/>
          <w:lang w:val="hr-HR"/>
        </w:rPr>
        <w:t>2</w:t>
      </w:r>
      <w:r w:rsidR="00EC5C8C" w:rsidRPr="004259B4">
        <w:rPr>
          <w:iCs/>
          <w:lang w:val="hr-HR"/>
        </w:rPr>
        <w:t xml:space="preserve"> obračunske površine</w:t>
      </w:r>
      <w:r w:rsidRPr="004259B4">
        <w:rPr>
          <w:iCs/>
          <w:lang w:val="hr-HR"/>
        </w:rPr>
        <w:t>, obračunska površina i mjesečni iznos komunalne naknade,</w:t>
      </w:r>
      <w:r w:rsidR="003C2F18" w:rsidRPr="004259B4">
        <w:rPr>
          <w:iCs/>
          <w:lang w:val="hr-HR"/>
        </w:rPr>
        <w:t xml:space="preserve"> osim za nekretnine iz članka 13</w:t>
      </w:r>
      <w:r w:rsidRPr="004259B4">
        <w:rPr>
          <w:iCs/>
          <w:lang w:val="hr-HR"/>
        </w:rPr>
        <w:t>. stavka 4. ove odluke.</w:t>
      </w:r>
    </w:p>
    <w:p w14:paraId="2F727AC3" w14:textId="77777777" w:rsidR="0058022B" w:rsidRPr="004259B4" w:rsidRDefault="0058022B">
      <w:pPr>
        <w:jc w:val="both"/>
        <w:rPr>
          <w:iCs/>
          <w:lang w:val="hr-HR"/>
        </w:rPr>
      </w:pPr>
    </w:p>
    <w:p w14:paraId="55DC53BE" w14:textId="77777777" w:rsidR="0058022B" w:rsidRPr="004259B4" w:rsidRDefault="008E66A5">
      <w:pPr>
        <w:jc w:val="center"/>
        <w:rPr>
          <w:b/>
          <w:bCs/>
          <w:iCs/>
          <w:lang w:val="hr-HR"/>
        </w:rPr>
      </w:pPr>
      <w:r w:rsidRPr="004259B4">
        <w:rPr>
          <w:b/>
          <w:bCs/>
          <w:iCs/>
          <w:lang w:val="hr-HR"/>
        </w:rPr>
        <w:t>Članak 9</w:t>
      </w:r>
      <w:r w:rsidR="0058022B" w:rsidRPr="004259B4">
        <w:rPr>
          <w:b/>
          <w:bCs/>
          <w:iCs/>
          <w:lang w:val="hr-HR"/>
        </w:rPr>
        <w:t>.</w:t>
      </w:r>
    </w:p>
    <w:p w14:paraId="0085961D" w14:textId="77777777" w:rsidR="0058022B" w:rsidRPr="004259B4" w:rsidRDefault="0058022B" w:rsidP="0026048D">
      <w:pPr>
        <w:ind w:firstLine="709"/>
        <w:jc w:val="both"/>
        <w:rPr>
          <w:iCs/>
          <w:lang w:val="hr-HR"/>
        </w:rPr>
      </w:pPr>
      <w:r w:rsidRPr="004259B4">
        <w:rPr>
          <w:iCs/>
          <w:lang w:val="hr-HR"/>
        </w:rPr>
        <w:t>Iznos komunalne naknade po m</w:t>
      </w:r>
      <w:r w:rsidRPr="004259B4">
        <w:rPr>
          <w:iCs/>
          <w:vertAlign w:val="superscript"/>
          <w:lang w:val="hr-HR"/>
        </w:rPr>
        <w:t>2</w:t>
      </w:r>
      <w:r w:rsidRPr="004259B4">
        <w:rPr>
          <w:iCs/>
          <w:lang w:val="hr-HR"/>
        </w:rPr>
        <w:t xml:space="preserve"> obračunske površine nekretnine utvrđuje se množenjem:</w:t>
      </w:r>
    </w:p>
    <w:p w14:paraId="1FDC9434" w14:textId="77777777" w:rsidR="0058022B" w:rsidRPr="004259B4" w:rsidRDefault="0058022B" w:rsidP="0026048D">
      <w:pPr>
        <w:pStyle w:val="ListParagraph"/>
        <w:numPr>
          <w:ilvl w:val="0"/>
          <w:numId w:val="12"/>
        </w:numPr>
        <w:ind w:left="1418" w:hanging="425"/>
        <w:jc w:val="both"/>
        <w:rPr>
          <w:iCs/>
          <w:lang w:val="hr-HR"/>
        </w:rPr>
      </w:pPr>
      <w:r w:rsidRPr="004259B4">
        <w:rPr>
          <w:iCs/>
          <w:lang w:val="hr-HR"/>
        </w:rPr>
        <w:t>vrijednosti obračunske jedinice - boda (B), određene u kunama po m</w:t>
      </w:r>
      <w:r w:rsidRPr="004259B4">
        <w:rPr>
          <w:iCs/>
          <w:vertAlign w:val="superscript"/>
          <w:lang w:val="hr-HR"/>
        </w:rPr>
        <w:t>2</w:t>
      </w:r>
      <w:r w:rsidRPr="004259B4">
        <w:rPr>
          <w:iCs/>
          <w:lang w:val="hr-HR"/>
        </w:rPr>
        <w:t xml:space="preserve"> (u daljnjem tekstu: vrijednost boda),</w:t>
      </w:r>
    </w:p>
    <w:p w14:paraId="6C2E552C" w14:textId="77777777" w:rsidR="0058022B" w:rsidRPr="004259B4" w:rsidRDefault="0058022B" w:rsidP="0026048D">
      <w:pPr>
        <w:pStyle w:val="ListParagraph"/>
        <w:numPr>
          <w:ilvl w:val="0"/>
          <w:numId w:val="12"/>
        </w:numPr>
        <w:ind w:left="1418" w:hanging="425"/>
        <w:jc w:val="both"/>
        <w:rPr>
          <w:iCs/>
          <w:lang w:val="hr-HR"/>
        </w:rPr>
      </w:pPr>
      <w:r w:rsidRPr="004259B4">
        <w:rPr>
          <w:iCs/>
          <w:lang w:val="hr-HR"/>
        </w:rPr>
        <w:t>koeficijenta zone (Kz),</w:t>
      </w:r>
    </w:p>
    <w:p w14:paraId="48866CDC" w14:textId="77777777" w:rsidR="0058022B" w:rsidRPr="004259B4" w:rsidRDefault="0058022B" w:rsidP="0026048D">
      <w:pPr>
        <w:pStyle w:val="ListParagraph"/>
        <w:numPr>
          <w:ilvl w:val="0"/>
          <w:numId w:val="12"/>
        </w:numPr>
        <w:ind w:left="1418" w:hanging="425"/>
        <w:jc w:val="both"/>
        <w:rPr>
          <w:iCs/>
          <w:lang w:val="hr-HR"/>
        </w:rPr>
      </w:pPr>
      <w:r w:rsidRPr="004259B4">
        <w:rPr>
          <w:iCs/>
          <w:lang w:val="hr-HR"/>
        </w:rPr>
        <w:t>koeficijenta namjene (Kn).</w:t>
      </w:r>
    </w:p>
    <w:p w14:paraId="680B1D7E" w14:textId="77777777" w:rsidR="0058022B" w:rsidRPr="004259B4" w:rsidRDefault="0058022B">
      <w:pPr>
        <w:jc w:val="both"/>
        <w:rPr>
          <w:iCs/>
          <w:lang w:val="hr-HR"/>
        </w:rPr>
      </w:pPr>
    </w:p>
    <w:p w14:paraId="0D77685B" w14:textId="77777777" w:rsidR="0058022B" w:rsidRPr="004259B4" w:rsidRDefault="008E66A5">
      <w:pPr>
        <w:jc w:val="center"/>
        <w:rPr>
          <w:b/>
          <w:bCs/>
          <w:iCs/>
          <w:lang w:val="hr-HR"/>
        </w:rPr>
      </w:pPr>
      <w:r w:rsidRPr="004259B4">
        <w:rPr>
          <w:b/>
          <w:bCs/>
          <w:iCs/>
          <w:lang w:val="hr-HR"/>
        </w:rPr>
        <w:t>Članak 10</w:t>
      </w:r>
      <w:r w:rsidR="0058022B" w:rsidRPr="004259B4">
        <w:rPr>
          <w:b/>
          <w:bCs/>
          <w:iCs/>
          <w:lang w:val="hr-HR"/>
        </w:rPr>
        <w:t>.</w:t>
      </w:r>
    </w:p>
    <w:p w14:paraId="38EB2F05" w14:textId="77777777" w:rsidR="00B91C72" w:rsidRPr="004259B4" w:rsidRDefault="0058022B" w:rsidP="0026048D">
      <w:pPr>
        <w:ind w:firstLine="709"/>
        <w:jc w:val="both"/>
        <w:rPr>
          <w:iCs/>
          <w:lang w:val="hr-HR"/>
        </w:rPr>
      </w:pPr>
      <w:r w:rsidRPr="004259B4">
        <w:rPr>
          <w:iCs/>
          <w:lang w:val="hr-HR"/>
        </w:rPr>
        <w:t>Vrijednost boda (B) određuje odlukom Gradsko vijeće Grada Samobora do kraja studenog tekuće godine za sljedeću kalendarsku godinu, nakon donošenja odluke o komunalnoj naknadi.</w:t>
      </w:r>
    </w:p>
    <w:p w14:paraId="3177A2FE" w14:textId="77777777" w:rsidR="0058022B" w:rsidRPr="004259B4" w:rsidRDefault="0058022B" w:rsidP="0026048D">
      <w:pPr>
        <w:ind w:firstLine="709"/>
        <w:jc w:val="both"/>
        <w:rPr>
          <w:iCs/>
          <w:lang w:val="hr-HR"/>
        </w:rPr>
      </w:pPr>
      <w:r w:rsidRPr="004259B4">
        <w:rPr>
          <w:iCs/>
          <w:lang w:val="hr-HR"/>
        </w:rPr>
        <w:t>Vrijednost boda iz stavka 1. ovoga članka jednaka je mjesečnoj visini komunalne naknade po m</w:t>
      </w:r>
      <w:r w:rsidRPr="004259B4">
        <w:rPr>
          <w:iCs/>
          <w:vertAlign w:val="superscript"/>
          <w:lang w:val="hr-HR"/>
        </w:rPr>
        <w:t>2</w:t>
      </w:r>
      <w:r w:rsidRPr="004259B4">
        <w:rPr>
          <w:iCs/>
          <w:lang w:val="hr-HR"/>
        </w:rPr>
        <w:t xml:space="preserve"> korisne površine stambenoga prostora u prvoj zoni Grada Samobora.</w:t>
      </w:r>
    </w:p>
    <w:p w14:paraId="55B4AB63" w14:textId="77777777" w:rsidR="0058022B" w:rsidRPr="004259B4" w:rsidRDefault="0058022B" w:rsidP="0026048D">
      <w:pPr>
        <w:ind w:firstLine="709"/>
        <w:jc w:val="both"/>
        <w:rPr>
          <w:iCs/>
          <w:lang w:val="hr-HR"/>
        </w:rPr>
      </w:pPr>
      <w:r w:rsidRPr="004259B4">
        <w:rPr>
          <w:iCs/>
          <w:lang w:val="hr-HR"/>
        </w:rPr>
        <w:t>Ako Gradsko vijeće Grada Samobora ne odredi vrijednost boda iz stavka 1. ovoga članka najkasnije do kraja studenog tekuće godine, za obračun komunalne naknade u sljedećoj kalendarskoj godini vrijednost boda se ne mijenja.</w:t>
      </w:r>
    </w:p>
    <w:p w14:paraId="0F1FC8E3" w14:textId="77777777" w:rsidR="0058022B" w:rsidRPr="004259B4" w:rsidRDefault="0058022B" w:rsidP="0026048D">
      <w:pPr>
        <w:ind w:firstLine="709"/>
        <w:jc w:val="both"/>
        <w:rPr>
          <w:iCs/>
          <w:lang w:val="hr-HR"/>
        </w:rPr>
      </w:pPr>
      <w:r w:rsidRPr="004259B4">
        <w:rPr>
          <w:iCs/>
          <w:lang w:val="hr-HR"/>
        </w:rPr>
        <w:t xml:space="preserve">Ako Gradsko vijeće Grada Samobora do kraja studenog tekuće godine donese odluku kojom se mijenja važeća vrijednost boda obveznicima plaćanja komunalne naknade izdaju se nova rješenja. </w:t>
      </w:r>
    </w:p>
    <w:p w14:paraId="516A70B9" w14:textId="77777777" w:rsidR="0058022B" w:rsidRPr="004259B4" w:rsidRDefault="0058022B">
      <w:pPr>
        <w:jc w:val="both"/>
        <w:rPr>
          <w:iCs/>
          <w:lang w:val="hr-HR"/>
        </w:rPr>
      </w:pPr>
    </w:p>
    <w:p w14:paraId="7B735540" w14:textId="77777777" w:rsidR="0058022B" w:rsidRPr="004259B4" w:rsidRDefault="008E66A5">
      <w:pPr>
        <w:jc w:val="center"/>
        <w:rPr>
          <w:b/>
          <w:bCs/>
          <w:iCs/>
          <w:lang w:val="hr-HR"/>
        </w:rPr>
      </w:pPr>
      <w:r w:rsidRPr="004259B4">
        <w:rPr>
          <w:b/>
          <w:bCs/>
          <w:iCs/>
          <w:lang w:val="hr-HR"/>
        </w:rPr>
        <w:t>Članak 11</w:t>
      </w:r>
      <w:r w:rsidR="0058022B" w:rsidRPr="004259B4">
        <w:rPr>
          <w:b/>
          <w:bCs/>
          <w:iCs/>
          <w:lang w:val="hr-HR"/>
        </w:rPr>
        <w:t>.</w:t>
      </w:r>
    </w:p>
    <w:p w14:paraId="129A759C" w14:textId="77777777" w:rsidR="0058022B" w:rsidRPr="004259B4" w:rsidRDefault="0058022B" w:rsidP="0026048D">
      <w:pPr>
        <w:ind w:firstLine="709"/>
        <w:jc w:val="both"/>
        <w:rPr>
          <w:iCs/>
          <w:lang w:val="hr-HR"/>
        </w:rPr>
      </w:pPr>
      <w:r w:rsidRPr="004259B4">
        <w:rPr>
          <w:iCs/>
          <w:lang w:val="hr-HR"/>
        </w:rPr>
        <w:t>Koeficijent zone (Kz) određuje Gradsko vijeće Grada Samobora za pojedine zone, a najviši koeficijent u prvoj zoni Grada Samobora iznosi 1,00.</w:t>
      </w:r>
    </w:p>
    <w:p w14:paraId="4A9E90CD" w14:textId="77777777" w:rsidR="0058022B" w:rsidRPr="004259B4" w:rsidRDefault="0058022B">
      <w:pPr>
        <w:jc w:val="both"/>
        <w:rPr>
          <w:iCs/>
          <w:lang w:val="hr-HR"/>
        </w:rPr>
      </w:pPr>
    </w:p>
    <w:p w14:paraId="4025EBFA" w14:textId="77777777" w:rsidR="00A605AF" w:rsidRPr="004259B4" w:rsidRDefault="00A605AF">
      <w:pPr>
        <w:rPr>
          <w:b/>
          <w:bCs/>
          <w:iCs/>
          <w:lang w:val="hr-HR"/>
        </w:rPr>
      </w:pPr>
      <w:r w:rsidRPr="004259B4">
        <w:rPr>
          <w:b/>
          <w:bCs/>
          <w:iCs/>
          <w:lang w:val="hr-HR"/>
        </w:rPr>
        <w:br w:type="page"/>
      </w:r>
    </w:p>
    <w:p w14:paraId="09DAB80E" w14:textId="77777777" w:rsidR="0058022B" w:rsidRPr="004259B4" w:rsidRDefault="008E66A5">
      <w:pPr>
        <w:jc w:val="center"/>
        <w:rPr>
          <w:b/>
          <w:bCs/>
          <w:iCs/>
          <w:lang w:val="hr-HR"/>
        </w:rPr>
      </w:pPr>
      <w:r w:rsidRPr="004259B4">
        <w:rPr>
          <w:b/>
          <w:bCs/>
          <w:iCs/>
          <w:lang w:val="hr-HR"/>
        </w:rPr>
        <w:t>Članak 12</w:t>
      </w:r>
      <w:r w:rsidR="0058022B" w:rsidRPr="004259B4">
        <w:rPr>
          <w:b/>
          <w:bCs/>
          <w:iCs/>
          <w:lang w:val="hr-HR"/>
        </w:rPr>
        <w:t>.</w:t>
      </w:r>
    </w:p>
    <w:p w14:paraId="26D3A995" w14:textId="77777777" w:rsidR="0058022B" w:rsidRPr="004259B4" w:rsidRDefault="0058022B" w:rsidP="0026048D">
      <w:pPr>
        <w:ind w:firstLine="709"/>
        <w:jc w:val="both"/>
        <w:rPr>
          <w:iCs/>
          <w:lang w:val="hr-HR"/>
        </w:rPr>
      </w:pPr>
      <w:r w:rsidRPr="004259B4">
        <w:rPr>
          <w:iCs/>
          <w:lang w:val="hr-HR"/>
        </w:rPr>
        <w:t>Ovisno o pogodnosti položaja i komunalnoj opremljenosti određenoga područja Grad Samobor dijeli se u 5 (pet) zona:</w:t>
      </w:r>
    </w:p>
    <w:p w14:paraId="211D9152" w14:textId="77777777" w:rsidR="0058022B" w:rsidRPr="004259B4" w:rsidRDefault="0058022B">
      <w:pPr>
        <w:pStyle w:val="BodyText2"/>
        <w:rPr>
          <w:iCs/>
          <w:lang w:val="hr-HR"/>
        </w:rPr>
      </w:pPr>
      <w:r w:rsidRPr="004259B4">
        <w:rPr>
          <w:iCs/>
          <w:lang w:val="hr-HR"/>
        </w:rPr>
        <w:t>I. ZONA:</w:t>
      </w:r>
    </w:p>
    <w:p w14:paraId="065CC89D" w14:textId="77777777" w:rsidR="0058022B" w:rsidRPr="004259B4" w:rsidRDefault="0058022B">
      <w:pPr>
        <w:jc w:val="both"/>
        <w:rPr>
          <w:iCs/>
          <w:lang w:val="hr-HR"/>
        </w:rPr>
      </w:pPr>
      <w:r w:rsidRPr="004259B4">
        <w:rPr>
          <w:iCs/>
          <w:lang w:val="hr-HR"/>
        </w:rPr>
        <w:t>- Samobor,</w:t>
      </w:r>
    </w:p>
    <w:p w14:paraId="3088F000" w14:textId="18119276" w:rsidR="0058022B" w:rsidRPr="004259B4" w:rsidRDefault="00833F88">
      <w:pPr>
        <w:jc w:val="both"/>
        <w:rPr>
          <w:iCs/>
          <w:lang w:val="hr-HR"/>
        </w:rPr>
      </w:pPr>
      <w:r w:rsidRPr="004259B4">
        <w:rPr>
          <w:iCs/>
          <w:lang w:val="hr-HR"/>
        </w:rPr>
        <w:t xml:space="preserve">- </w:t>
      </w:r>
      <w:r w:rsidR="0058022B" w:rsidRPr="004259B4">
        <w:rPr>
          <w:iCs/>
          <w:lang w:val="hr-HR"/>
        </w:rPr>
        <w:t>koeficijent prve zone iznosi 1,00</w:t>
      </w:r>
    </w:p>
    <w:p w14:paraId="106BF5FC" w14:textId="77777777" w:rsidR="0058022B" w:rsidRPr="004259B4" w:rsidRDefault="0058022B">
      <w:pPr>
        <w:pStyle w:val="BodyText2"/>
        <w:rPr>
          <w:iCs/>
          <w:lang w:val="hr-HR"/>
        </w:rPr>
      </w:pPr>
      <w:r w:rsidRPr="004259B4">
        <w:rPr>
          <w:iCs/>
          <w:lang w:val="hr-HR"/>
        </w:rPr>
        <w:t>II. ZONA:</w:t>
      </w:r>
    </w:p>
    <w:p w14:paraId="18C8910D" w14:textId="77777777" w:rsidR="0058022B" w:rsidRPr="004259B4" w:rsidRDefault="00DA40A0" w:rsidP="008F08A9">
      <w:pPr>
        <w:rPr>
          <w:lang w:val="hr-HR"/>
        </w:rPr>
      </w:pPr>
      <w:r w:rsidRPr="004259B4">
        <w:rPr>
          <w:lang w:val="hr-HR"/>
        </w:rPr>
        <w:t>- Bregana,</w:t>
      </w:r>
    </w:p>
    <w:p w14:paraId="617164A8" w14:textId="77777777" w:rsidR="0058022B" w:rsidRPr="004259B4" w:rsidRDefault="0058022B">
      <w:pPr>
        <w:jc w:val="both"/>
        <w:rPr>
          <w:iCs/>
          <w:lang w:val="hr-HR"/>
        </w:rPr>
      </w:pPr>
      <w:r w:rsidRPr="004259B4">
        <w:rPr>
          <w:iCs/>
          <w:lang w:val="hr-HR"/>
        </w:rPr>
        <w:t xml:space="preserve"> koeficijent druge zone iznosi 0,80</w:t>
      </w:r>
    </w:p>
    <w:p w14:paraId="562F5F11" w14:textId="77777777" w:rsidR="0058022B" w:rsidRPr="004259B4" w:rsidRDefault="0058022B">
      <w:pPr>
        <w:pStyle w:val="BodyText2"/>
        <w:rPr>
          <w:iCs/>
          <w:lang w:val="hr-HR"/>
        </w:rPr>
      </w:pPr>
      <w:r w:rsidRPr="004259B4">
        <w:rPr>
          <w:iCs/>
          <w:lang w:val="hr-HR"/>
        </w:rPr>
        <w:t>III. ZONA:</w:t>
      </w:r>
    </w:p>
    <w:p w14:paraId="725EE770" w14:textId="288703B9" w:rsidR="0058022B" w:rsidRPr="004259B4" w:rsidRDefault="002C11E2" w:rsidP="00833F88">
      <w:pPr>
        <w:jc w:val="both"/>
        <w:rPr>
          <w:lang w:val="hr-HR"/>
        </w:rPr>
      </w:pPr>
      <w:r w:rsidRPr="004259B4">
        <w:rPr>
          <w:lang w:val="hr-HR"/>
        </w:rPr>
        <w:t xml:space="preserve">- </w:t>
      </w:r>
      <w:r w:rsidR="00771B09" w:rsidRPr="004259B4">
        <w:rPr>
          <w:lang w:val="hr-HR"/>
        </w:rPr>
        <w:t>Bobovica, Celine Samoborske, Domaslovec, Drežnik Podokićki, Dubrava Samoborska, Farkašev</w:t>
      </w:r>
      <w:r w:rsidR="006E1AFA" w:rsidRPr="004259B4">
        <w:rPr>
          <w:lang w:val="hr-HR"/>
        </w:rPr>
        <w:t xml:space="preserve">ec Samoborski, Galgovo, Gradna, </w:t>
      </w:r>
      <w:r w:rsidR="00771B09" w:rsidRPr="004259B4">
        <w:rPr>
          <w:lang w:val="hr-HR"/>
        </w:rPr>
        <w:t>Hrastina Samoborska, Kladje, Klokočevec Samoborski,</w:t>
      </w:r>
      <w:r w:rsidR="00DA40A0" w:rsidRPr="004259B4">
        <w:rPr>
          <w:lang w:val="hr-HR"/>
        </w:rPr>
        <w:t xml:space="preserve"> Lug Samoborski, </w:t>
      </w:r>
      <w:r w:rsidR="00771B09" w:rsidRPr="004259B4">
        <w:rPr>
          <w:lang w:val="hr-HR"/>
        </w:rPr>
        <w:t>Mala Jazbina, Mala Rakovica, Medsave, Molvice, Pavučnjak, Petkov Breg, Podvrh, Rakov Potok, Rude, Samoborski Otok, Savršćak, Sveti Martin pod Okićem, Velika Jazbina, Velika Rakovica, Vrbovec Samoborski, Vrhovč</w:t>
      </w:r>
      <w:r w:rsidR="00833F88" w:rsidRPr="004259B4">
        <w:rPr>
          <w:lang w:val="hr-HR"/>
        </w:rPr>
        <w:t>ak</w:t>
      </w:r>
    </w:p>
    <w:p w14:paraId="3DE1B2D7" w14:textId="2C761F67" w:rsidR="0058022B" w:rsidRPr="004259B4" w:rsidRDefault="00833F88" w:rsidP="00833F88">
      <w:pPr>
        <w:jc w:val="both"/>
        <w:rPr>
          <w:lang w:val="hr-HR"/>
        </w:rPr>
      </w:pPr>
      <w:r w:rsidRPr="004259B4">
        <w:rPr>
          <w:lang w:val="hr-HR"/>
        </w:rPr>
        <w:t xml:space="preserve">- </w:t>
      </w:r>
      <w:r w:rsidR="0058022B" w:rsidRPr="004259B4">
        <w:rPr>
          <w:lang w:val="hr-HR"/>
        </w:rPr>
        <w:t>koeficijent treće zone iznosi 0,60</w:t>
      </w:r>
    </w:p>
    <w:p w14:paraId="1696C563" w14:textId="77777777" w:rsidR="0058022B" w:rsidRPr="004259B4" w:rsidRDefault="0058022B" w:rsidP="00833F88">
      <w:pPr>
        <w:jc w:val="both"/>
        <w:rPr>
          <w:b/>
          <w:lang w:val="hr-HR"/>
        </w:rPr>
      </w:pPr>
      <w:r w:rsidRPr="004259B4">
        <w:rPr>
          <w:b/>
          <w:lang w:val="hr-HR"/>
        </w:rPr>
        <w:t>IV. ZONA:</w:t>
      </w:r>
    </w:p>
    <w:p w14:paraId="311F344B" w14:textId="19BD00E6" w:rsidR="003D186A" w:rsidRPr="004259B4" w:rsidRDefault="003D186A" w:rsidP="00833F88">
      <w:pPr>
        <w:jc w:val="both"/>
        <w:rPr>
          <w:lang w:val="hr-HR"/>
        </w:rPr>
      </w:pPr>
      <w:r w:rsidRPr="004259B4">
        <w:rPr>
          <w:lang w:val="hr-HR"/>
        </w:rPr>
        <w:t xml:space="preserve">- </w:t>
      </w:r>
      <w:r w:rsidR="00771B09" w:rsidRPr="004259B4">
        <w:rPr>
          <w:lang w:val="hr-HR"/>
        </w:rPr>
        <w:t>Braslovje, Breganica, Bukovje Podvrško, Cerje Samoborsko, Dolec Podokićki, Draganje Selo, Falašćak,</w:t>
      </w:r>
      <w:r w:rsidR="006E1AFA" w:rsidRPr="004259B4">
        <w:rPr>
          <w:lang w:val="hr-HR"/>
        </w:rPr>
        <w:t xml:space="preserve"> Grdanjci,</w:t>
      </w:r>
      <w:r w:rsidR="00771B09" w:rsidRPr="004259B4">
        <w:rPr>
          <w:lang w:val="hr-HR"/>
        </w:rPr>
        <w:t xml:space="preserve"> Gregurić Breg, Klake, Konšćica, Kotari, Mali Lipovec, Manja Vas, Otruševec, Podgrađe Podokićko, Prekrižje Plešivičko, Slani Dol, Slavagora, Smerovišće, Vel</w:t>
      </w:r>
      <w:r w:rsidR="00833F88" w:rsidRPr="004259B4">
        <w:rPr>
          <w:lang w:val="hr-HR"/>
        </w:rPr>
        <w:t>iki Lipovec, Vratnik Samoborski</w:t>
      </w:r>
    </w:p>
    <w:p w14:paraId="1525E61C" w14:textId="22FBBEB9" w:rsidR="002A0EE2" w:rsidRPr="004259B4" w:rsidRDefault="00833F88" w:rsidP="00833F88">
      <w:pPr>
        <w:jc w:val="both"/>
        <w:rPr>
          <w:lang w:val="hr-HR"/>
        </w:rPr>
      </w:pPr>
      <w:r w:rsidRPr="004259B4">
        <w:rPr>
          <w:lang w:val="hr-HR"/>
        </w:rPr>
        <w:t xml:space="preserve">- </w:t>
      </w:r>
      <w:r w:rsidR="0058022B" w:rsidRPr="004259B4">
        <w:rPr>
          <w:lang w:val="hr-HR"/>
        </w:rPr>
        <w:t>koeficijent četvrte zone iznosi 0,40</w:t>
      </w:r>
    </w:p>
    <w:p w14:paraId="69F970DF" w14:textId="77777777" w:rsidR="0058022B" w:rsidRPr="004259B4" w:rsidRDefault="0058022B" w:rsidP="00833F88">
      <w:pPr>
        <w:jc w:val="both"/>
        <w:rPr>
          <w:b/>
          <w:lang w:val="hr-HR"/>
        </w:rPr>
      </w:pPr>
      <w:r w:rsidRPr="004259B4">
        <w:rPr>
          <w:b/>
          <w:lang w:val="hr-HR"/>
        </w:rPr>
        <w:t>V. ZONA:</w:t>
      </w:r>
    </w:p>
    <w:p w14:paraId="216C1DC4" w14:textId="0A1067A5" w:rsidR="003D186A" w:rsidRPr="004259B4" w:rsidRDefault="003D186A" w:rsidP="00833F88">
      <w:pPr>
        <w:jc w:val="both"/>
        <w:rPr>
          <w:lang w:val="hr-HR"/>
        </w:rPr>
      </w:pPr>
      <w:r w:rsidRPr="004259B4">
        <w:rPr>
          <w:lang w:val="hr-HR"/>
        </w:rPr>
        <w:t xml:space="preserve">- </w:t>
      </w:r>
      <w:r w:rsidR="00771B09" w:rsidRPr="004259B4">
        <w:rPr>
          <w:lang w:val="hr-HR"/>
        </w:rPr>
        <w:t>Beder, Budinjak, Dragonoš, Gornja Vas, Jarušje, Javorek, Kostanjevec Podvrški, Noršić Selo, Novo Selo Žumberačko, Poklek, Slapnica, Stojdraga, Š</w:t>
      </w:r>
      <w:r w:rsidR="00833F88" w:rsidRPr="004259B4">
        <w:rPr>
          <w:lang w:val="hr-HR"/>
        </w:rPr>
        <w:t>ipački Breg, Višnjevec Podvrški</w:t>
      </w:r>
    </w:p>
    <w:p w14:paraId="4BBE9A41" w14:textId="3C555474" w:rsidR="0058022B" w:rsidRPr="004259B4" w:rsidRDefault="00833F88" w:rsidP="00833F88">
      <w:pPr>
        <w:jc w:val="both"/>
        <w:rPr>
          <w:lang w:val="hr-HR"/>
        </w:rPr>
      </w:pPr>
      <w:r w:rsidRPr="004259B4">
        <w:rPr>
          <w:lang w:val="hr-HR"/>
        </w:rPr>
        <w:t xml:space="preserve">- </w:t>
      </w:r>
      <w:r w:rsidR="0058022B" w:rsidRPr="004259B4">
        <w:rPr>
          <w:lang w:val="hr-HR"/>
        </w:rPr>
        <w:t>k</w:t>
      </w:r>
      <w:r w:rsidR="00771B09" w:rsidRPr="004259B4">
        <w:rPr>
          <w:lang w:val="hr-HR"/>
        </w:rPr>
        <w:t>oeficijent pete zone iznosi 0,20</w:t>
      </w:r>
    </w:p>
    <w:p w14:paraId="6A309656" w14:textId="77777777" w:rsidR="0058022B" w:rsidRPr="004259B4" w:rsidRDefault="0058022B" w:rsidP="008F08A9">
      <w:pPr>
        <w:rPr>
          <w:lang w:val="hr-HR"/>
        </w:rPr>
      </w:pPr>
    </w:p>
    <w:p w14:paraId="65046291" w14:textId="77777777" w:rsidR="0058022B" w:rsidRPr="004259B4" w:rsidRDefault="008E66A5">
      <w:pPr>
        <w:jc w:val="center"/>
        <w:rPr>
          <w:b/>
          <w:bCs/>
          <w:iCs/>
          <w:lang w:val="hr-HR"/>
        </w:rPr>
      </w:pPr>
      <w:r w:rsidRPr="004259B4">
        <w:rPr>
          <w:b/>
          <w:bCs/>
          <w:iCs/>
          <w:lang w:val="hr-HR"/>
        </w:rPr>
        <w:t>Članak 13</w:t>
      </w:r>
      <w:r w:rsidR="0058022B" w:rsidRPr="004259B4">
        <w:rPr>
          <w:b/>
          <w:bCs/>
          <w:iCs/>
          <w:lang w:val="hr-HR"/>
        </w:rPr>
        <w:t>.</w:t>
      </w:r>
    </w:p>
    <w:p w14:paraId="74464225" w14:textId="70981A71" w:rsidR="0058022B" w:rsidRPr="004259B4" w:rsidRDefault="0058022B" w:rsidP="0026048D">
      <w:pPr>
        <w:ind w:firstLine="709"/>
        <w:jc w:val="both"/>
        <w:rPr>
          <w:iCs/>
          <w:lang w:val="hr-HR"/>
        </w:rPr>
      </w:pPr>
      <w:r w:rsidRPr="004259B4">
        <w:rPr>
          <w:iCs/>
          <w:lang w:val="hr-HR"/>
        </w:rPr>
        <w:t>Koeficijent namjene (Kn) ovisi o vrsti nekretnine iz članka 5. ove odluke i iznosi za:</w:t>
      </w:r>
    </w:p>
    <w:p w14:paraId="163B599D" w14:textId="0B753FA4" w:rsidR="00FD3D2E" w:rsidRPr="004259B4" w:rsidRDefault="00FD3D2E" w:rsidP="0026048D">
      <w:pPr>
        <w:ind w:firstLine="709"/>
        <w:jc w:val="both"/>
        <w:rPr>
          <w:iCs/>
          <w:lang w:val="hr-HR"/>
        </w:rPr>
      </w:pPr>
    </w:p>
    <w:tbl>
      <w:tblPr>
        <w:tblW w:w="9288" w:type="dxa"/>
        <w:tblInd w:w="208" w:type="dxa"/>
        <w:tblLayout w:type="fixed"/>
        <w:tblCellMar>
          <w:left w:w="0" w:type="dxa"/>
          <w:right w:w="0" w:type="dxa"/>
        </w:tblCellMar>
        <w:tblLook w:val="01E0" w:firstRow="1" w:lastRow="1" w:firstColumn="1" w:lastColumn="1" w:noHBand="0" w:noVBand="0"/>
      </w:tblPr>
      <w:tblGrid>
        <w:gridCol w:w="7200"/>
        <w:gridCol w:w="2088"/>
      </w:tblGrid>
      <w:tr w:rsidR="004259B4" w:rsidRPr="004259B4" w14:paraId="56C9594D" w14:textId="77777777" w:rsidTr="002204CC">
        <w:trPr>
          <w:trHeight w:hRule="exact" w:val="359"/>
        </w:trPr>
        <w:tc>
          <w:tcPr>
            <w:tcW w:w="7200" w:type="dxa"/>
            <w:tcBorders>
              <w:top w:val="single" w:sz="4" w:space="0" w:color="000000"/>
              <w:left w:val="single" w:sz="4" w:space="0" w:color="000000"/>
              <w:bottom w:val="single" w:sz="4" w:space="0" w:color="000000"/>
              <w:right w:val="single" w:sz="4" w:space="0" w:color="000000"/>
            </w:tcBorders>
            <w:vAlign w:val="center"/>
          </w:tcPr>
          <w:p w14:paraId="46646DBE" w14:textId="77777777" w:rsidR="002A0EE2" w:rsidRPr="004259B4" w:rsidRDefault="00833F88" w:rsidP="00FD3D2E">
            <w:pPr>
              <w:spacing w:before="62"/>
              <w:ind w:left="103" w:right="-20"/>
              <w:jc w:val="both"/>
              <w:rPr>
                <w:lang w:val="hr-HR"/>
              </w:rPr>
            </w:pPr>
            <w:r w:rsidRPr="004259B4">
              <w:rPr>
                <w:lang w:val="hr-HR"/>
              </w:rPr>
              <w:t>s</w:t>
            </w:r>
            <w:r w:rsidR="002A0EE2" w:rsidRPr="004259B4">
              <w:rPr>
                <w:lang w:val="hr-HR"/>
              </w:rPr>
              <w:t>tambeni</w:t>
            </w:r>
            <w:r w:rsidR="002A0EE2" w:rsidRPr="004259B4">
              <w:rPr>
                <w:spacing w:val="-7"/>
                <w:lang w:val="hr-HR"/>
              </w:rPr>
              <w:t xml:space="preserve"> </w:t>
            </w:r>
            <w:r w:rsidR="002A0EE2" w:rsidRPr="004259B4">
              <w:rPr>
                <w:lang w:val="hr-HR"/>
              </w:rPr>
              <w:t>prostor i</w:t>
            </w:r>
            <w:r w:rsidR="002A0EE2" w:rsidRPr="004259B4">
              <w:rPr>
                <w:spacing w:val="-1"/>
                <w:lang w:val="hr-HR"/>
              </w:rPr>
              <w:t xml:space="preserve"> </w:t>
            </w:r>
            <w:r w:rsidR="002A0EE2" w:rsidRPr="004259B4">
              <w:rPr>
                <w:lang w:val="hr-HR"/>
              </w:rPr>
              <w:t>prostor koji</w:t>
            </w:r>
            <w:r w:rsidR="002A0EE2" w:rsidRPr="004259B4">
              <w:rPr>
                <w:spacing w:val="-3"/>
                <w:lang w:val="hr-HR"/>
              </w:rPr>
              <w:t xml:space="preserve"> </w:t>
            </w:r>
            <w:r w:rsidR="002A0EE2" w:rsidRPr="004259B4">
              <w:rPr>
                <w:lang w:val="hr-HR"/>
              </w:rPr>
              <w:t>koriste</w:t>
            </w:r>
            <w:r w:rsidR="002A0EE2" w:rsidRPr="004259B4">
              <w:rPr>
                <w:spacing w:val="-5"/>
                <w:lang w:val="hr-HR"/>
              </w:rPr>
              <w:t xml:space="preserve"> </w:t>
            </w:r>
            <w:r w:rsidR="002A0EE2" w:rsidRPr="004259B4">
              <w:rPr>
                <w:lang w:val="hr-HR"/>
              </w:rPr>
              <w:t>neprofitne</w:t>
            </w:r>
            <w:r w:rsidR="002A0EE2" w:rsidRPr="004259B4">
              <w:rPr>
                <w:spacing w:val="-17"/>
                <w:lang w:val="hr-HR"/>
              </w:rPr>
              <w:t xml:space="preserve"> </w:t>
            </w:r>
            <w:r w:rsidR="002A0EE2" w:rsidRPr="004259B4">
              <w:rPr>
                <w:lang w:val="hr-HR"/>
              </w:rPr>
              <w:t>o</w:t>
            </w:r>
            <w:r w:rsidR="002A0EE2" w:rsidRPr="004259B4">
              <w:rPr>
                <w:spacing w:val="-3"/>
                <w:lang w:val="hr-HR"/>
              </w:rPr>
              <w:t>r</w:t>
            </w:r>
            <w:r w:rsidR="002A0EE2" w:rsidRPr="004259B4">
              <w:rPr>
                <w:lang w:val="hr-HR"/>
              </w:rPr>
              <w:t>ganizacije</w:t>
            </w:r>
          </w:p>
        </w:tc>
        <w:tc>
          <w:tcPr>
            <w:tcW w:w="2088" w:type="dxa"/>
            <w:tcBorders>
              <w:top w:val="single" w:sz="4" w:space="0" w:color="000000"/>
              <w:left w:val="single" w:sz="4" w:space="0" w:color="000000"/>
              <w:bottom w:val="single" w:sz="4" w:space="0" w:color="000000"/>
              <w:right w:val="single" w:sz="4" w:space="0" w:color="000000"/>
            </w:tcBorders>
            <w:vAlign w:val="center"/>
          </w:tcPr>
          <w:p w14:paraId="15D2E5DF" w14:textId="77777777" w:rsidR="002A0EE2" w:rsidRPr="004259B4" w:rsidRDefault="002A0EE2" w:rsidP="00A5634A">
            <w:pPr>
              <w:spacing w:before="62"/>
              <w:ind w:left="393" w:right="-20"/>
              <w:rPr>
                <w:lang w:val="hr-HR"/>
              </w:rPr>
            </w:pPr>
            <w:r w:rsidRPr="004259B4">
              <w:rPr>
                <w:lang w:val="hr-HR"/>
              </w:rPr>
              <w:t>- koeficijent</w:t>
            </w:r>
            <w:r w:rsidRPr="004259B4">
              <w:rPr>
                <w:spacing w:val="-17"/>
                <w:lang w:val="hr-HR"/>
              </w:rPr>
              <w:t xml:space="preserve"> </w:t>
            </w:r>
            <w:r w:rsidRPr="004259B4">
              <w:rPr>
                <w:lang w:val="hr-HR"/>
              </w:rPr>
              <w:t>1,00</w:t>
            </w:r>
          </w:p>
        </w:tc>
      </w:tr>
      <w:tr w:rsidR="004259B4" w:rsidRPr="004259B4" w14:paraId="5E497B9A" w14:textId="77777777" w:rsidTr="002204CC">
        <w:trPr>
          <w:trHeight w:hRule="exact" w:val="358"/>
        </w:trPr>
        <w:tc>
          <w:tcPr>
            <w:tcW w:w="7200" w:type="dxa"/>
            <w:tcBorders>
              <w:top w:val="single" w:sz="4" w:space="0" w:color="000000"/>
              <w:left w:val="single" w:sz="4" w:space="0" w:color="000000"/>
              <w:bottom w:val="single" w:sz="4" w:space="0" w:color="000000"/>
              <w:right w:val="single" w:sz="4" w:space="0" w:color="000000"/>
            </w:tcBorders>
            <w:vAlign w:val="center"/>
          </w:tcPr>
          <w:p w14:paraId="0573CF25" w14:textId="00ABC0DC" w:rsidR="002A0EE2" w:rsidRPr="004259B4" w:rsidRDefault="00833F88" w:rsidP="00FD3D2E">
            <w:pPr>
              <w:spacing w:before="62"/>
              <w:ind w:left="103" w:right="-20"/>
              <w:jc w:val="both"/>
              <w:rPr>
                <w:lang w:val="hr-HR"/>
              </w:rPr>
            </w:pPr>
            <w:r w:rsidRPr="004259B4">
              <w:rPr>
                <w:lang w:val="hr-HR"/>
              </w:rPr>
              <w:t>g</w:t>
            </w:r>
            <w:r w:rsidR="002A0EE2" w:rsidRPr="004259B4">
              <w:rPr>
                <w:lang w:val="hr-HR"/>
              </w:rPr>
              <w:t>aražni</w:t>
            </w:r>
            <w:r w:rsidR="002A0EE2" w:rsidRPr="004259B4">
              <w:rPr>
                <w:spacing w:val="-6"/>
                <w:lang w:val="hr-HR"/>
              </w:rPr>
              <w:t xml:space="preserve"> </w:t>
            </w:r>
            <w:r w:rsidR="002A0EE2" w:rsidRPr="004259B4">
              <w:rPr>
                <w:lang w:val="hr-HR"/>
              </w:rPr>
              <w:t>prostor</w:t>
            </w:r>
          </w:p>
        </w:tc>
        <w:tc>
          <w:tcPr>
            <w:tcW w:w="2088" w:type="dxa"/>
            <w:tcBorders>
              <w:top w:val="single" w:sz="4" w:space="0" w:color="000000"/>
              <w:left w:val="single" w:sz="4" w:space="0" w:color="000000"/>
              <w:bottom w:val="single" w:sz="4" w:space="0" w:color="000000"/>
              <w:right w:val="single" w:sz="4" w:space="0" w:color="000000"/>
            </w:tcBorders>
            <w:vAlign w:val="center"/>
          </w:tcPr>
          <w:p w14:paraId="46DE6EB2" w14:textId="77777777" w:rsidR="002A0EE2" w:rsidRPr="004259B4" w:rsidRDefault="002A0EE2" w:rsidP="00A5634A">
            <w:pPr>
              <w:spacing w:before="62"/>
              <w:ind w:left="393" w:right="-20"/>
              <w:rPr>
                <w:lang w:val="hr-HR"/>
              </w:rPr>
            </w:pPr>
            <w:r w:rsidRPr="004259B4">
              <w:rPr>
                <w:lang w:val="hr-HR"/>
              </w:rPr>
              <w:t>- koeficijent</w:t>
            </w:r>
            <w:r w:rsidRPr="004259B4">
              <w:rPr>
                <w:spacing w:val="-17"/>
                <w:lang w:val="hr-HR"/>
              </w:rPr>
              <w:t xml:space="preserve"> </w:t>
            </w:r>
            <w:r w:rsidRPr="004259B4">
              <w:rPr>
                <w:lang w:val="hr-HR"/>
              </w:rPr>
              <w:t>1,00</w:t>
            </w:r>
          </w:p>
        </w:tc>
      </w:tr>
      <w:tr w:rsidR="004259B4" w:rsidRPr="004259B4" w14:paraId="19A0AFB0" w14:textId="77777777" w:rsidTr="002204CC">
        <w:trPr>
          <w:trHeight w:hRule="exact" w:val="359"/>
        </w:trPr>
        <w:tc>
          <w:tcPr>
            <w:tcW w:w="7200" w:type="dxa"/>
            <w:tcBorders>
              <w:top w:val="single" w:sz="4" w:space="0" w:color="000000"/>
              <w:left w:val="single" w:sz="4" w:space="0" w:color="000000"/>
              <w:bottom w:val="single" w:sz="4" w:space="0" w:color="000000"/>
              <w:right w:val="single" w:sz="4" w:space="0" w:color="000000"/>
            </w:tcBorders>
            <w:vAlign w:val="center"/>
          </w:tcPr>
          <w:p w14:paraId="4417B416" w14:textId="6C54982C" w:rsidR="002A0EE2" w:rsidRPr="004259B4" w:rsidRDefault="00833F88" w:rsidP="00FD3D2E">
            <w:pPr>
              <w:spacing w:before="62"/>
              <w:ind w:left="103" w:right="-20"/>
              <w:jc w:val="both"/>
              <w:rPr>
                <w:lang w:val="hr-HR"/>
              </w:rPr>
            </w:pPr>
            <w:r w:rsidRPr="004259B4">
              <w:rPr>
                <w:lang w:val="hr-HR"/>
              </w:rPr>
              <w:t>n</w:t>
            </w:r>
            <w:r w:rsidR="002A0EE2" w:rsidRPr="004259B4">
              <w:rPr>
                <w:lang w:val="hr-HR"/>
              </w:rPr>
              <w:t>eizgrađeno</w:t>
            </w:r>
            <w:r w:rsidR="002A0EE2" w:rsidRPr="004259B4">
              <w:rPr>
                <w:spacing w:val="-9"/>
                <w:lang w:val="hr-HR"/>
              </w:rPr>
              <w:t xml:space="preserve"> </w:t>
            </w:r>
            <w:r w:rsidR="002A0EE2" w:rsidRPr="004259B4">
              <w:rPr>
                <w:lang w:val="hr-HR"/>
              </w:rPr>
              <w:t>građevno</w:t>
            </w:r>
            <w:r w:rsidR="002A0EE2" w:rsidRPr="004259B4">
              <w:rPr>
                <w:spacing w:val="-6"/>
                <w:lang w:val="hr-HR"/>
              </w:rPr>
              <w:t xml:space="preserve"> </w:t>
            </w:r>
            <w:r w:rsidR="002A0EE2" w:rsidRPr="004259B4">
              <w:rPr>
                <w:lang w:val="hr-HR"/>
              </w:rPr>
              <w:t>zemljište</w:t>
            </w:r>
          </w:p>
        </w:tc>
        <w:tc>
          <w:tcPr>
            <w:tcW w:w="2088" w:type="dxa"/>
            <w:tcBorders>
              <w:top w:val="single" w:sz="4" w:space="0" w:color="000000"/>
              <w:left w:val="single" w:sz="4" w:space="0" w:color="000000"/>
              <w:bottom w:val="single" w:sz="4" w:space="0" w:color="000000"/>
              <w:right w:val="single" w:sz="4" w:space="0" w:color="000000"/>
            </w:tcBorders>
            <w:vAlign w:val="center"/>
          </w:tcPr>
          <w:p w14:paraId="5C649478" w14:textId="77777777" w:rsidR="002A0EE2" w:rsidRPr="004259B4" w:rsidRDefault="002A0EE2" w:rsidP="00A5634A">
            <w:pPr>
              <w:spacing w:before="62"/>
              <w:ind w:left="393" w:right="-20"/>
              <w:rPr>
                <w:lang w:val="hr-HR"/>
              </w:rPr>
            </w:pPr>
            <w:r w:rsidRPr="004259B4">
              <w:rPr>
                <w:lang w:val="hr-HR"/>
              </w:rPr>
              <w:t>- koeficijent</w:t>
            </w:r>
            <w:r w:rsidRPr="004259B4">
              <w:rPr>
                <w:spacing w:val="-17"/>
                <w:lang w:val="hr-HR"/>
              </w:rPr>
              <w:t xml:space="preserve"> </w:t>
            </w:r>
            <w:r w:rsidRPr="004259B4">
              <w:rPr>
                <w:lang w:val="hr-HR"/>
              </w:rPr>
              <w:t>0,05</w:t>
            </w:r>
          </w:p>
        </w:tc>
      </w:tr>
      <w:tr w:rsidR="004259B4" w:rsidRPr="004259B4" w14:paraId="4C34FEFD" w14:textId="77777777" w:rsidTr="002204CC">
        <w:trPr>
          <w:trHeight w:hRule="exact" w:val="359"/>
        </w:trPr>
        <w:tc>
          <w:tcPr>
            <w:tcW w:w="7200" w:type="dxa"/>
            <w:tcBorders>
              <w:top w:val="single" w:sz="4" w:space="0" w:color="000000"/>
              <w:left w:val="single" w:sz="4" w:space="0" w:color="000000"/>
              <w:bottom w:val="single" w:sz="4" w:space="0" w:color="000000"/>
              <w:right w:val="single" w:sz="4" w:space="0" w:color="000000"/>
            </w:tcBorders>
            <w:vAlign w:val="center"/>
          </w:tcPr>
          <w:p w14:paraId="4480C296" w14:textId="3420837B" w:rsidR="002A0EE2" w:rsidRPr="004259B4" w:rsidRDefault="00833F88" w:rsidP="00FD3D2E">
            <w:pPr>
              <w:spacing w:before="62"/>
              <w:ind w:left="103" w:right="-20"/>
              <w:jc w:val="both"/>
              <w:rPr>
                <w:lang w:val="hr-HR"/>
              </w:rPr>
            </w:pPr>
            <w:r w:rsidRPr="004259B4">
              <w:rPr>
                <w:lang w:val="hr-HR"/>
              </w:rPr>
              <w:t>p</w:t>
            </w:r>
            <w:r w:rsidR="002A0EE2" w:rsidRPr="004259B4">
              <w:rPr>
                <w:lang w:val="hr-HR"/>
              </w:rPr>
              <w:t>oslovni</w:t>
            </w:r>
            <w:r w:rsidR="002A0EE2" w:rsidRPr="004259B4">
              <w:rPr>
                <w:spacing w:val="-7"/>
                <w:lang w:val="hr-HR"/>
              </w:rPr>
              <w:t xml:space="preserve"> </w:t>
            </w:r>
            <w:r w:rsidR="002A0EE2" w:rsidRPr="004259B4">
              <w:rPr>
                <w:lang w:val="hr-HR"/>
              </w:rPr>
              <w:t>prostor koji</w:t>
            </w:r>
            <w:r w:rsidR="002A0EE2" w:rsidRPr="004259B4">
              <w:rPr>
                <w:spacing w:val="-3"/>
                <w:lang w:val="hr-HR"/>
              </w:rPr>
              <w:t xml:space="preserve"> </w:t>
            </w:r>
            <w:r w:rsidR="002A0EE2" w:rsidRPr="004259B4">
              <w:rPr>
                <w:lang w:val="hr-HR"/>
              </w:rPr>
              <w:t>služi</w:t>
            </w:r>
            <w:r w:rsidR="002A0EE2" w:rsidRPr="004259B4">
              <w:rPr>
                <w:spacing w:val="-4"/>
                <w:lang w:val="hr-HR"/>
              </w:rPr>
              <w:t xml:space="preserve"> </w:t>
            </w:r>
            <w:r w:rsidR="002A0EE2" w:rsidRPr="004259B4">
              <w:rPr>
                <w:lang w:val="hr-HR"/>
              </w:rPr>
              <w:t>za</w:t>
            </w:r>
            <w:r w:rsidR="002A0EE2" w:rsidRPr="004259B4">
              <w:rPr>
                <w:spacing w:val="-2"/>
                <w:lang w:val="hr-HR"/>
              </w:rPr>
              <w:t xml:space="preserve"> </w:t>
            </w:r>
            <w:r w:rsidR="002A0EE2" w:rsidRPr="004259B4">
              <w:rPr>
                <w:lang w:val="hr-HR"/>
              </w:rPr>
              <w:t>proizvodnu</w:t>
            </w:r>
            <w:r w:rsidR="002A0EE2" w:rsidRPr="004259B4">
              <w:rPr>
                <w:spacing w:val="-9"/>
                <w:lang w:val="hr-HR"/>
              </w:rPr>
              <w:t xml:space="preserve"> </w:t>
            </w:r>
            <w:r w:rsidR="002A0EE2" w:rsidRPr="004259B4">
              <w:rPr>
                <w:lang w:val="hr-HR"/>
              </w:rPr>
              <w:t>djelatnost</w:t>
            </w:r>
          </w:p>
        </w:tc>
        <w:tc>
          <w:tcPr>
            <w:tcW w:w="2088" w:type="dxa"/>
            <w:tcBorders>
              <w:top w:val="single" w:sz="4" w:space="0" w:color="000000"/>
              <w:left w:val="single" w:sz="4" w:space="0" w:color="000000"/>
              <w:bottom w:val="single" w:sz="4" w:space="0" w:color="000000"/>
              <w:right w:val="single" w:sz="4" w:space="0" w:color="000000"/>
            </w:tcBorders>
            <w:vAlign w:val="center"/>
          </w:tcPr>
          <w:p w14:paraId="1AB5D18E" w14:textId="77777777" w:rsidR="002A0EE2" w:rsidRPr="004259B4" w:rsidRDefault="002A0EE2" w:rsidP="00A5634A">
            <w:pPr>
              <w:spacing w:before="62"/>
              <w:ind w:left="393" w:right="-20"/>
              <w:rPr>
                <w:lang w:val="hr-HR"/>
              </w:rPr>
            </w:pPr>
            <w:r w:rsidRPr="004259B4">
              <w:rPr>
                <w:lang w:val="hr-HR"/>
              </w:rPr>
              <w:t>- koeficijent</w:t>
            </w:r>
            <w:r w:rsidRPr="004259B4">
              <w:rPr>
                <w:spacing w:val="-17"/>
                <w:lang w:val="hr-HR"/>
              </w:rPr>
              <w:t xml:space="preserve"> </w:t>
            </w:r>
            <w:r w:rsidRPr="004259B4">
              <w:rPr>
                <w:lang w:val="hr-HR"/>
              </w:rPr>
              <w:t>2,50</w:t>
            </w:r>
          </w:p>
        </w:tc>
      </w:tr>
      <w:tr w:rsidR="004259B4" w:rsidRPr="004259B4" w14:paraId="1725A2D3" w14:textId="77777777" w:rsidTr="002204CC">
        <w:trPr>
          <w:trHeight w:hRule="exact" w:val="4007"/>
        </w:trPr>
        <w:tc>
          <w:tcPr>
            <w:tcW w:w="7200" w:type="dxa"/>
            <w:tcBorders>
              <w:top w:val="single" w:sz="4" w:space="0" w:color="000000"/>
              <w:left w:val="single" w:sz="4" w:space="0" w:color="000000"/>
              <w:bottom w:val="single" w:sz="4" w:space="0" w:color="000000"/>
              <w:right w:val="single" w:sz="4" w:space="0" w:color="000000"/>
            </w:tcBorders>
            <w:vAlign w:val="center"/>
          </w:tcPr>
          <w:p w14:paraId="282717EA" w14:textId="4ED4CAB6" w:rsidR="002A0EE2" w:rsidRPr="004259B4" w:rsidRDefault="00FD3D2E" w:rsidP="00FD3D2E">
            <w:pPr>
              <w:spacing w:before="62" w:line="250" w:lineRule="auto"/>
              <w:ind w:left="103" w:right="431"/>
              <w:jc w:val="both"/>
              <w:rPr>
                <w:lang w:val="hr-HR"/>
              </w:rPr>
            </w:pPr>
            <w:r w:rsidRPr="004259B4">
              <w:rPr>
                <w:lang w:val="hr-HR"/>
              </w:rPr>
              <w:t>p</w:t>
            </w:r>
            <w:r w:rsidR="002A0EE2" w:rsidRPr="004259B4">
              <w:rPr>
                <w:lang w:val="hr-HR"/>
              </w:rPr>
              <w:t>oslovni</w:t>
            </w:r>
            <w:r w:rsidR="002A0EE2" w:rsidRPr="004259B4">
              <w:rPr>
                <w:spacing w:val="-7"/>
                <w:lang w:val="hr-HR"/>
              </w:rPr>
              <w:t xml:space="preserve"> </w:t>
            </w:r>
            <w:r w:rsidR="002A0EE2" w:rsidRPr="004259B4">
              <w:rPr>
                <w:lang w:val="hr-HR"/>
              </w:rPr>
              <w:t>prostor velikih</w:t>
            </w:r>
            <w:r w:rsidR="002A0EE2" w:rsidRPr="004259B4">
              <w:rPr>
                <w:spacing w:val="-5"/>
                <w:lang w:val="hr-HR"/>
              </w:rPr>
              <w:t xml:space="preserve"> </w:t>
            </w:r>
            <w:r w:rsidR="002A0EE2" w:rsidRPr="004259B4">
              <w:rPr>
                <w:lang w:val="hr-HR"/>
              </w:rPr>
              <w:t>t</w:t>
            </w:r>
            <w:r w:rsidR="002A0EE2" w:rsidRPr="004259B4">
              <w:rPr>
                <w:spacing w:val="-3"/>
                <w:lang w:val="hr-HR"/>
              </w:rPr>
              <w:t>r</w:t>
            </w:r>
            <w:r w:rsidR="002A0EE2" w:rsidRPr="004259B4">
              <w:rPr>
                <w:lang w:val="hr-HR"/>
              </w:rPr>
              <w:t>govačkih</w:t>
            </w:r>
            <w:r w:rsidR="002A0EE2" w:rsidRPr="004259B4">
              <w:rPr>
                <w:spacing w:val="-7"/>
                <w:lang w:val="hr-HR"/>
              </w:rPr>
              <w:t xml:space="preserve"> </w:t>
            </w:r>
            <w:r w:rsidR="002A0EE2" w:rsidRPr="004259B4">
              <w:rPr>
                <w:lang w:val="hr-HR"/>
              </w:rPr>
              <w:t>centara</w:t>
            </w:r>
            <w:r w:rsidR="002A0EE2" w:rsidRPr="004259B4">
              <w:rPr>
                <w:spacing w:val="-5"/>
                <w:lang w:val="hr-HR"/>
              </w:rPr>
              <w:t xml:space="preserve"> </w:t>
            </w:r>
            <w:r w:rsidR="002A0EE2" w:rsidRPr="004259B4">
              <w:rPr>
                <w:lang w:val="hr-HR"/>
              </w:rPr>
              <w:t>(uključivo</w:t>
            </w:r>
            <w:r w:rsidR="002A0EE2" w:rsidRPr="004259B4">
              <w:rPr>
                <w:spacing w:val="-7"/>
                <w:lang w:val="hr-HR"/>
              </w:rPr>
              <w:t xml:space="preserve"> </w:t>
            </w:r>
            <w:r w:rsidR="002A0EE2" w:rsidRPr="004259B4">
              <w:rPr>
                <w:lang w:val="hr-HR"/>
              </w:rPr>
              <w:t>i</w:t>
            </w:r>
            <w:r w:rsidR="002A0EE2" w:rsidRPr="004259B4">
              <w:rPr>
                <w:spacing w:val="-1"/>
                <w:lang w:val="hr-HR"/>
              </w:rPr>
              <w:t xml:space="preserve"> </w:t>
            </w:r>
            <w:r w:rsidR="002A0EE2" w:rsidRPr="004259B4">
              <w:rPr>
                <w:lang w:val="hr-HR"/>
              </w:rPr>
              <w:t>zakupce</w:t>
            </w:r>
            <w:r w:rsidR="002A0EE2" w:rsidRPr="004259B4">
              <w:rPr>
                <w:spacing w:val="-6"/>
                <w:lang w:val="hr-HR"/>
              </w:rPr>
              <w:t xml:space="preserve"> </w:t>
            </w:r>
            <w:r w:rsidR="002A0EE2" w:rsidRPr="004259B4">
              <w:rPr>
                <w:lang w:val="hr-HR"/>
              </w:rPr>
              <w:t>ili</w:t>
            </w:r>
            <w:r w:rsidR="002A0EE2" w:rsidRPr="004259B4">
              <w:rPr>
                <w:spacing w:val="-2"/>
                <w:lang w:val="hr-HR"/>
              </w:rPr>
              <w:t xml:space="preserve"> </w:t>
            </w:r>
            <w:r w:rsidR="002A0EE2" w:rsidRPr="004259B4">
              <w:rPr>
                <w:lang w:val="hr-HR"/>
              </w:rPr>
              <w:t>vlasnike</w:t>
            </w:r>
            <w:r w:rsidR="002A0EE2" w:rsidRPr="004259B4">
              <w:rPr>
                <w:spacing w:val="-6"/>
                <w:lang w:val="hr-HR"/>
              </w:rPr>
              <w:t xml:space="preserve"> </w:t>
            </w:r>
            <w:r w:rsidR="002A0EE2" w:rsidRPr="004259B4">
              <w:rPr>
                <w:lang w:val="hr-HR"/>
              </w:rPr>
              <w:t>poslovnog prostora</w:t>
            </w:r>
            <w:r w:rsidR="002A0EE2" w:rsidRPr="004259B4">
              <w:rPr>
                <w:spacing w:val="-6"/>
                <w:lang w:val="hr-HR"/>
              </w:rPr>
              <w:t xml:space="preserve"> </w:t>
            </w:r>
            <w:r w:rsidR="002A0EE2" w:rsidRPr="004259B4">
              <w:rPr>
                <w:lang w:val="hr-HR"/>
              </w:rPr>
              <w:t>koji</w:t>
            </w:r>
            <w:r w:rsidR="002A0EE2" w:rsidRPr="004259B4">
              <w:rPr>
                <w:spacing w:val="-3"/>
                <w:lang w:val="hr-HR"/>
              </w:rPr>
              <w:t xml:space="preserve"> </w:t>
            </w:r>
            <w:r w:rsidR="002A0EE2" w:rsidRPr="004259B4">
              <w:rPr>
                <w:lang w:val="hr-HR"/>
              </w:rPr>
              <w:t>obavljaju</w:t>
            </w:r>
            <w:r w:rsidR="002A0EE2" w:rsidRPr="004259B4">
              <w:rPr>
                <w:spacing w:val="40"/>
                <w:lang w:val="hr-HR"/>
              </w:rPr>
              <w:t xml:space="preserve"> </w:t>
            </w:r>
            <w:r w:rsidR="002A0EE2" w:rsidRPr="004259B4">
              <w:rPr>
                <w:lang w:val="hr-HR"/>
              </w:rPr>
              <w:t>djelatnost</w:t>
            </w:r>
            <w:r w:rsidR="002A0EE2" w:rsidRPr="004259B4">
              <w:rPr>
                <w:spacing w:val="-7"/>
                <w:lang w:val="hr-HR"/>
              </w:rPr>
              <w:t xml:space="preserve"> </w:t>
            </w:r>
            <w:r w:rsidR="002A0EE2" w:rsidRPr="004259B4">
              <w:rPr>
                <w:lang w:val="hr-HR"/>
              </w:rPr>
              <w:t>u sklopu</w:t>
            </w:r>
            <w:r w:rsidR="002A0EE2" w:rsidRPr="004259B4">
              <w:rPr>
                <w:spacing w:val="-5"/>
                <w:lang w:val="hr-HR"/>
              </w:rPr>
              <w:t xml:space="preserve"> </w:t>
            </w:r>
            <w:r w:rsidR="002A0EE2" w:rsidRPr="004259B4">
              <w:rPr>
                <w:lang w:val="hr-HR"/>
              </w:rPr>
              <w:t>velikog</w:t>
            </w:r>
            <w:r w:rsidR="002A0EE2" w:rsidRPr="004259B4">
              <w:rPr>
                <w:spacing w:val="-6"/>
                <w:lang w:val="hr-HR"/>
              </w:rPr>
              <w:t xml:space="preserve"> </w:t>
            </w:r>
            <w:r w:rsidR="002A0EE2" w:rsidRPr="004259B4">
              <w:rPr>
                <w:lang w:val="hr-HR"/>
              </w:rPr>
              <w:t>t</w:t>
            </w:r>
            <w:r w:rsidR="002A0EE2" w:rsidRPr="004259B4">
              <w:rPr>
                <w:spacing w:val="-3"/>
                <w:lang w:val="hr-HR"/>
              </w:rPr>
              <w:t>r</w:t>
            </w:r>
            <w:r w:rsidR="002A0EE2" w:rsidRPr="004259B4">
              <w:rPr>
                <w:lang w:val="hr-HR"/>
              </w:rPr>
              <w:t>gov</w:t>
            </w:r>
            <w:r w:rsidR="002A0EE2" w:rsidRPr="004259B4">
              <w:rPr>
                <w:spacing w:val="-1"/>
                <w:lang w:val="hr-HR"/>
              </w:rPr>
              <w:t>a</w:t>
            </w:r>
            <w:r w:rsidR="002A0EE2" w:rsidRPr="004259B4">
              <w:rPr>
                <w:lang w:val="hr-HR"/>
              </w:rPr>
              <w:t>čkog</w:t>
            </w:r>
            <w:r w:rsidR="002A0EE2" w:rsidRPr="004259B4">
              <w:rPr>
                <w:spacing w:val="-5"/>
                <w:lang w:val="hr-HR"/>
              </w:rPr>
              <w:t xml:space="preserve"> </w:t>
            </w:r>
            <w:r w:rsidR="002A0EE2" w:rsidRPr="004259B4">
              <w:rPr>
                <w:lang w:val="hr-HR"/>
              </w:rPr>
              <w:t>centra)</w:t>
            </w:r>
            <w:r w:rsidR="002A0EE2" w:rsidRPr="004259B4">
              <w:rPr>
                <w:spacing w:val="-5"/>
                <w:lang w:val="hr-HR"/>
              </w:rPr>
              <w:t xml:space="preserve"> </w:t>
            </w:r>
            <w:r w:rsidR="002A0EE2" w:rsidRPr="004259B4">
              <w:rPr>
                <w:lang w:val="hr-HR"/>
              </w:rPr>
              <w:t>te</w:t>
            </w:r>
            <w:r w:rsidR="002A0EE2" w:rsidRPr="004259B4">
              <w:rPr>
                <w:spacing w:val="-1"/>
                <w:lang w:val="hr-HR"/>
              </w:rPr>
              <w:t xml:space="preserve"> </w:t>
            </w:r>
            <w:r w:rsidR="002A0EE2" w:rsidRPr="004259B4">
              <w:rPr>
                <w:lang w:val="hr-HR"/>
              </w:rPr>
              <w:t>poslovni prostor u kojem</w:t>
            </w:r>
            <w:r w:rsidR="002A0EE2" w:rsidRPr="004259B4">
              <w:rPr>
                <w:spacing w:val="-5"/>
                <w:lang w:val="hr-HR"/>
              </w:rPr>
              <w:t xml:space="preserve"> </w:t>
            </w:r>
            <w:r w:rsidR="002A0EE2" w:rsidRPr="004259B4">
              <w:rPr>
                <w:lang w:val="hr-HR"/>
              </w:rPr>
              <w:t>se obavljaju</w:t>
            </w:r>
            <w:r w:rsidR="002A0EE2" w:rsidRPr="004259B4">
              <w:rPr>
                <w:spacing w:val="-7"/>
                <w:lang w:val="hr-HR"/>
              </w:rPr>
              <w:t xml:space="preserve"> </w:t>
            </w:r>
            <w:r w:rsidR="002A0EE2" w:rsidRPr="004259B4">
              <w:rPr>
                <w:lang w:val="hr-HR"/>
              </w:rPr>
              <w:t>financijske</w:t>
            </w:r>
            <w:r w:rsidR="002A0EE2" w:rsidRPr="004259B4">
              <w:rPr>
                <w:spacing w:val="-18"/>
                <w:lang w:val="hr-HR"/>
              </w:rPr>
              <w:t xml:space="preserve"> </w:t>
            </w:r>
            <w:r w:rsidR="002A0EE2" w:rsidRPr="004259B4">
              <w:rPr>
                <w:lang w:val="hr-HR"/>
              </w:rPr>
              <w:t>djelatnosti,</w:t>
            </w:r>
            <w:r w:rsidR="002A0EE2" w:rsidRPr="004259B4">
              <w:rPr>
                <w:spacing w:val="-8"/>
                <w:lang w:val="hr-HR"/>
              </w:rPr>
              <w:t xml:space="preserve"> </w:t>
            </w:r>
            <w:r w:rsidR="002A0EE2" w:rsidRPr="004259B4">
              <w:rPr>
                <w:lang w:val="hr-HR"/>
              </w:rPr>
              <w:t>djelatnosti</w:t>
            </w:r>
            <w:r w:rsidR="002A0EE2" w:rsidRPr="004259B4">
              <w:rPr>
                <w:spacing w:val="-8"/>
                <w:lang w:val="hr-HR"/>
              </w:rPr>
              <w:t xml:space="preserve"> </w:t>
            </w:r>
            <w:r w:rsidR="002A0EE2" w:rsidRPr="004259B4">
              <w:rPr>
                <w:lang w:val="hr-HR"/>
              </w:rPr>
              <w:t>osiguranja,</w:t>
            </w:r>
            <w:r w:rsidR="002A0EE2" w:rsidRPr="004259B4">
              <w:rPr>
                <w:spacing w:val="-8"/>
                <w:lang w:val="hr-HR"/>
              </w:rPr>
              <w:t xml:space="preserve"> </w:t>
            </w:r>
            <w:r w:rsidR="002A0EE2" w:rsidRPr="004259B4">
              <w:rPr>
                <w:lang w:val="hr-HR"/>
              </w:rPr>
              <w:t>djelatnosti</w:t>
            </w:r>
          </w:p>
          <w:p w14:paraId="5262CDD6" w14:textId="77777777" w:rsidR="002A0EE2" w:rsidRPr="004259B4" w:rsidRDefault="002A0EE2" w:rsidP="00FD3D2E">
            <w:pPr>
              <w:spacing w:line="250" w:lineRule="auto"/>
              <w:ind w:left="103" w:right="56"/>
              <w:jc w:val="both"/>
              <w:rPr>
                <w:lang w:val="hr-HR"/>
              </w:rPr>
            </w:pPr>
            <w:r w:rsidRPr="004259B4">
              <w:rPr>
                <w:lang w:val="hr-HR"/>
              </w:rPr>
              <w:t>kockanja</w:t>
            </w:r>
            <w:r w:rsidRPr="004259B4">
              <w:rPr>
                <w:spacing w:val="-7"/>
                <w:lang w:val="hr-HR"/>
              </w:rPr>
              <w:t xml:space="preserve"> </w:t>
            </w:r>
            <w:r w:rsidRPr="004259B4">
              <w:rPr>
                <w:lang w:val="hr-HR"/>
              </w:rPr>
              <w:t>i</w:t>
            </w:r>
            <w:r w:rsidRPr="004259B4">
              <w:rPr>
                <w:spacing w:val="-1"/>
                <w:lang w:val="hr-HR"/>
              </w:rPr>
              <w:t xml:space="preserve"> </w:t>
            </w:r>
            <w:r w:rsidRPr="004259B4">
              <w:rPr>
                <w:lang w:val="hr-HR"/>
              </w:rPr>
              <w:t>klađenja,</w:t>
            </w:r>
            <w:r w:rsidRPr="004259B4">
              <w:rPr>
                <w:spacing w:val="-6"/>
                <w:lang w:val="hr-HR"/>
              </w:rPr>
              <w:t xml:space="preserve"> </w:t>
            </w:r>
            <w:r w:rsidRPr="004259B4">
              <w:rPr>
                <w:lang w:val="hr-HR"/>
              </w:rPr>
              <w:t>telekomunikacijske</w:t>
            </w:r>
            <w:r w:rsidRPr="004259B4">
              <w:rPr>
                <w:spacing w:val="-15"/>
                <w:lang w:val="hr-HR"/>
              </w:rPr>
              <w:t xml:space="preserve"> </w:t>
            </w:r>
            <w:r w:rsidRPr="004259B4">
              <w:rPr>
                <w:lang w:val="hr-HR"/>
              </w:rPr>
              <w:t>djelatnosti,</w:t>
            </w:r>
            <w:r w:rsidRPr="004259B4">
              <w:rPr>
                <w:spacing w:val="-8"/>
                <w:lang w:val="hr-HR"/>
              </w:rPr>
              <w:t xml:space="preserve"> </w:t>
            </w:r>
            <w:r w:rsidRPr="004259B4">
              <w:rPr>
                <w:lang w:val="hr-HR"/>
              </w:rPr>
              <w:t>t</w:t>
            </w:r>
            <w:r w:rsidRPr="004259B4">
              <w:rPr>
                <w:spacing w:val="-3"/>
                <w:lang w:val="hr-HR"/>
              </w:rPr>
              <w:t>r</w:t>
            </w:r>
            <w:r w:rsidRPr="004259B4">
              <w:rPr>
                <w:lang w:val="hr-HR"/>
              </w:rPr>
              <w:t>govina</w:t>
            </w:r>
            <w:r w:rsidRPr="004259B4">
              <w:rPr>
                <w:spacing w:val="-6"/>
                <w:lang w:val="hr-HR"/>
              </w:rPr>
              <w:t xml:space="preserve"> </w:t>
            </w:r>
            <w:r w:rsidRPr="004259B4">
              <w:rPr>
                <w:lang w:val="hr-HR"/>
              </w:rPr>
              <w:t>na</w:t>
            </w:r>
            <w:r w:rsidRPr="004259B4">
              <w:rPr>
                <w:spacing w:val="-2"/>
                <w:lang w:val="hr-HR"/>
              </w:rPr>
              <w:t xml:space="preserve"> </w:t>
            </w:r>
            <w:r w:rsidRPr="004259B4">
              <w:rPr>
                <w:lang w:val="hr-HR"/>
              </w:rPr>
              <w:t>malo</w:t>
            </w:r>
            <w:r w:rsidRPr="004259B4">
              <w:rPr>
                <w:spacing w:val="-4"/>
                <w:lang w:val="hr-HR"/>
              </w:rPr>
              <w:t xml:space="preserve"> </w:t>
            </w:r>
            <w:r w:rsidRPr="004259B4">
              <w:rPr>
                <w:lang w:val="hr-HR"/>
              </w:rPr>
              <w:t>motornim</w:t>
            </w:r>
            <w:r w:rsidRPr="004259B4">
              <w:rPr>
                <w:spacing w:val="-7"/>
                <w:lang w:val="hr-HR"/>
              </w:rPr>
              <w:t xml:space="preserve"> </w:t>
            </w:r>
            <w:r w:rsidRPr="004259B4">
              <w:rPr>
                <w:lang w:val="hr-HR"/>
              </w:rPr>
              <w:t>gorivima</w:t>
            </w:r>
            <w:r w:rsidRPr="004259B4">
              <w:rPr>
                <w:spacing w:val="-7"/>
                <w:lang w:val="hr-HR"/>
              </w:rPr>
              <w:t xml:space="preserve"> </w:t>
            </w:r>
            <w:r w:rsidRPr="004259B4">
              <w:rPr>
                <w:lang w:val="hr-HR"/>
              </w:rPr>
              <w:t>i mazivima</w:t>
            </w:r>
            <w:r w:rsidRPr="004259B4">
              <w:rPr>
                <w:spacing w:val="-7"/>
                <w:lang w:val="hr-HR"/>
              </w:rPr>
              <w:t xml:space="preserve"> </w:t>
            </w:r>
            <w:r w:rsidRPr="004259B4">
              <w:rPr>
                <w:lang w:val="hr-HR"/>
              </w:rPr>
              <w:t>(uključivo</w:t>
            </w:r>
            <w:r w:rsidRPr="004259B4">
              <w:rPr>
                <w:spacing w:val="-7"/>
                <w:lang w:val="hr-HR"/>
              </w:rPr>
              <w:t xml:space="preserve"> </w:t>
            </w:r>
            <w:r w:rsidRPr="004259B4">
              <w:rPr>
                <w:lang w:val="hr-HR"/>
              </w:rPr>
              <w:t>i</w:t>
            </w:r>
            <w:r w:rsidRPr="004259B4">
              <w:rPr>
                <w:spacing w:val="-1"/>
                <w:lang w:val="hr-HR"/>
              </w:rPr>
              <w:t xml:space="preserve"> </w:t>
            </w:r>
            <w:r w:rsidRPr="004259B4">
              <w:rPr>
                <w:lang w:val="hr-HR"/>
              </w:rPr>
              <w:t>t</w:t>
            </w:r>
            <w:r w:rsidRPr="004259B4">
              <w:rPr>
                <w:spacing w:val="-3"/>
                <w:lang w:val="hr-HR"/>
              </w:rPr>
              <w:t>r</w:t>
            </w:r>
            <w:r w:rsidRPr="004259B4">
              <w:rPr>
                <w:lang w:val="hr-HR"/>
              </w:rPr>
              <w:t>govinu</w:t>
            </w:r>
            <w:r w:rsidRPr="004259B4">
              <w:rPr>
                <w:spacing w:val="-6"/>
                <w:lang w:val="hr-HR"/>
              </w:rPr>
              <w:t xml:space="preserve"> </w:t>
            </w:r>
            <w:r w:rsidRPr="004259B4">
              <w:rPr>
                <w:lang w:val="hr-HR"/>
              </w:rPr>
              <w:t>ostalih</w:t>
            </w:r>
            <w:r w:rsidRPr="004259B4">
              <w:rPr>
                <w:spacing w:val="-5"/>
                <w:lang w:val="hr-HR"/>
              </w:rPr>
              <w:t xml:space="preserve"> </w:t>
            </w:r>
            <w:r w:rsidRPr="004259B4">
              <w:rPr>
                <w:lang w:val="hr-HR"/>
              </w:rPr>
              <w:t>proizvoda</w:t>
            </w:r>
            <w:r w:rsidRPr="004259B4">
              <w:rPr>
                <w:spacing w:val="-8"/>
                <w:lang w:val="hr-HR"/>
              </w:rPr>
              <w:t xml:space="preserve"> </w:t>
            </w:r>
            <w:r w:rsidRPr="004259B4">
              <w:rPr>
                <w:lang w:val="hr-HR"/>
              </w:rPr>
              <w:t>i</w:t>
            </w:r>
            <w:r w:rsidRPr="004259B4">
              <w:rPr>
                <w:spacing w:val="-1"/>
                <w:lang w:val="hr-HR"/>
              </w:rPr>
              <w:t xml:space="preserve"> </w:t>
            </w:r>
            <w:r w:rsidRPr="004259B4">
              <w:rPr>
                <w:lang w:val="hr-HR"/>
              </w:rPr>
              <w:t>ugostiteljstvo</w:t>
            </w:r>
            <w:r w:rsidRPr="004259B4">
              <w:rPr>
                <w:spacing w:val="-10"/>
                <w:lang w:val="hr-HR"/>
              </w:rPr>
              <w:t xml:space="preserve"> </w:t>
            </w:r>
            <w:r w:rsidRPr="004259B4">
              <w:rPr>
                <w:lang w:val="hr-HR"/>
              </w:rPr>
              <w:t>u sklopu</w:t>
            </w:r>
            <w:r w:rsidRPr="004259B4">
              <w:rPr>
                <w:spacing w:val="42"/>
                <w:lang w:val="hr-HR"/>
              </w:rPr>
              <w:t xml:space="preserve"> </w:t>
            </w:r>
            <w:r w:rsidRPr="004259B4">
              <w:rPr>
                <w:w w:val="99"/>
                <w:lang w:val="hr-HR"/>
              </w:rPr>
              <w:t xml:space="preserve">prostora), </w:t>
            </w:r>
            <w:r w:rsidRPr="004259B4">
              <w:rPr>
                <w:lang w:val="hr-HR"/>
              </w:rPr>
              <w:t>opskrba lijekovima</w:t>
            </w:r>
            <w:r w:rsidRPr="004259B4">
              <w:rPr>
                <w:spacing w:val="-8"/>
                <w:lang w:val="hr-HR"/>
              </w:rPr>
              <w:t xml:space="preserve"> </w:t>
            </w:r>
            <w:r w:rsidRPr="004259B4">
              <w:rPr>
                <w:lang w:val="hr-HR"/>
              </w:rPr>
              <w:t>i</w:t>
            </w:r>
            <w:r w:rsidRPr="004259B4">
              <w:rPr>
                <w:spacing w:val="-1"/>
                <w:lang w:val="hr-HR"/>
              </w:rPr>
              <w:t xml:space="preserve"> </w:t>
            </w:r>
            <w:r w:rsidRPr="004259B4">
              <w:rPr>
                <w:lang w:val="hr-HR"/>
              </w:rPr>
              <w:t>sličnim</w:t>
            </w:r>
            <w:r w:rsidRPr="004259B4">
              <w:rPr>
                <w:spacing w:val="-5"/>
                <w:lang w:val="hr-HR"/>
              </w:rPr>
              <w:t xml:space="preserve"> </w:t>
            </w:r>
            <w:r w:rsidRPr="004259B4">
              <w:rPr>
                <w:lang w:val="hr-HR"/>
              </w:rPr>
              <w:t>proizvodima</w:t>
            </w:r>
            <w:r w:rsidRPr="004259B4">
              <w:rPr>
                <w:spacing w:val="-10"/>
                <w:lang w:val="hr-HR"/>
              </w:rPr>
              <w:t xml:space="preserve"> </w:t>
            </w:r>
            <w:r w:rsidRPr="004259B4">
              <w:rPr>
                <w:lang w:val="hr-HR"/>
              </w:rPr>
              <w:t>(ljekarne),</w:t>
            </w:r>
            <w:r w:rsidRPr="004259B4">
              <w:rPr>
                <w:spacing w:val="-8"/>
                <w:lang w:val="hr-HR"/>
              </w:rPr>
              <w:t xml:space="preserve"> </w:t>
            </w:r>
            <w:r w:rsidRPr="004259B4">
              <w:rPr>
                <w:lang w:val="hr-HR"/>
              </w:rPr>
              <w:t>t</w:t>
            </w:r>
            <w:r w:rsidRPr="004259B4">
              <w:rPr>
                <w:spacing w:val="-3"/>
                <w:lang w:val="hr-HR"/>
              </w:rPr>
              <w:t>r</w:t>
            </w:r>
            <w:r w:rsidRPr="004259B4">
              <w:rPr>
                <w:lang w:val="hr-HR"/>
              </w:rPr>
              <w:t>govina</w:t>
            </w:r>
            <w:r w:rsidRPr="004259B4">
              <w:rPr>
                <w:spacing w:val="-6"/>
                <w:lang w:val="hr-HR"/>
              </w:rPr>
              <w:t xml:space="preserve"> </w:t>
            </w:r>
            <w:r w:rsidRPr="004259B4">
              <w:rPr>
                <w:lang w:val="hr-HR"/>
              </w:rPr>
              <w:t>na</w:t>
            </w:r>
            <w:r w:rsidRPr="004259B4">
              <w:rPr>
                <w:spacing w:val="-2"/>
                <w:lang w:val="hr-HR"/>
              </w:rPr>
              <w:t xml:space="preserve"> </w:t>
            </w:r>
            <w:r w:rsidRPr="004259B4">
              <w:rPr>
                <w:lang w:val="hr-HR"/>
              </w:rPr>
              <w:t>veliko,</w:t>
            </w:r>
            <w:r w:rsidRPr="004259B4">
              <w:rPr>
                <w:spacing w:val="-5"/>
                <w:lang w:val="hr-HR"/>
              </w:rPr>
              <w:t xml:space="preserve"> </w:t>
            </w:r>
            <w:r w:rsidRPr="004259B4">
              <w:rPr>
                <w:lang w:val="hr-HR"/>
              </w:rPr>
              <w:t>obavljanje jedinstvenog</w:t>
            </w:r>
            <w:r w:rsidRPr="004259B4">
              <w:rPr>
                <w:spacing w:val="-10"/>
                <w:lang w:val="hr-HR"/>
              </w:rPr>
              <w:t xml:space="preserve"> </w:t>
            </w:r>
            <w:r w:rsidRPr="004259B4">
              <w:rPr>
                <w:lang w:val="hr-HR"/>
              </w:rPr>
              <w:t>tehnološkog</w:t>
            </w:r>
            <w:r w:rsidRPr="004259B4">
              <w:rPr>
                <w:spacing w:val="-9"/>
                <w:lang w:val="hr-HR"/>
              </w:rPr>
              <w:t xml:space="preserve"> </w:t>
            </w:r>
            <w:r w:rsidRPr="004259B4">
              <w:rPr>
                <w:lang w:val="hr-HR"/>
              </w:rPr>
              <w:t>sustava</w:t>
            </w:r>
            <w:r w:rsidRPr="004259B4">
              <w:rPr>
                <w:spacing w:val="-6"/>
                <w:lang w:val="hr-HR"/>
              </w:rPr>
              <w:t xml:space="preserve"> </w:t>
            </w:r>
            <w:r w:rsidRPr="004259B4">
              <w:rPr>
                <w:lang w:val="hr-HR"/>
              </w:rPr>
              <w:t>tehničkih</w:t>
            </w:r>
            <w:r w:rsidRPr="004259B4">
              <w:rPr>
                <w:spacing w:val="-6"/>
                <w:lang w:val="hr-HR"/>
              </w:rPr>
              <w:t xml:space="preserve"> </w:t>
            </w:r>
            <w:r w:rsidRPr="004259B4">
              <w:rPr>
                <w:lang w:val="hr-HR"/>
              </w:rPr>
              <w:t>pregleda</w:t>
            </w:r>
            <w:r w:rsidRPr="004259B4">
              <w:rPr>
                <w:spacing w:val="-7"/>
                <w:lang w:val="hr-HR"/>
              </w:rPr>
              <w:t xml:space="preserve"> </w:t>
            </w:r>
            <w:r w:rsidRPr="004259B4">
              <w:rPr>
                <w:lang w:val="hr-HR"/>
              </w:rPr>
              <w:t>vozila,</w:t>
            </w:r>
            <w:r w:rsidRPr="004259B4">
              <w:rPr>
                <w:spacing w:val="-5"/>
                <w:lang w:val="hr-HR"/>
              </w:rPr>
              <w:t xml:space="preserve"> </w:t>
            </w:r>
            <w:r w:rsidRPr="004259B4">
              <w:rPr>
                <w:lang w:val="hr-HR"/>
              </w:rPr>
              <w:t>registracije,</w:t>
            </w:r>
            <w:r w:rsidRPr="004259B4">
              <w:rPr>
                <w:spacing w:val="-9"/>
                <w:lang w:val="hr-HR"/>
              </w:rPr>
              <w:t xml:space="preserve"> </w:t>
            </w:r>
            <w:r w:rsidRPr="004259B4">
              <w:rPr>
                <w:lang w:val="hr-HR"/>
              </w:rPr>
              <w:t>ispitivanja</w:t>
            </w:r>
            <w:r w:rsidRPr="004259B4">
              <w:rPr>
                <w:spacing w:val="-8"/>
                <w:lang w:val="hr-HR"/>
              </w:rPr>
              <w:t xml:space="preserve"> </w:t>
            </w:r>
            <w:r w:rsidRPr="004259B4">
              <w:rPr>
                <w:lang w:val="hr-HR"/>
              </w:rPr>
              <w:t>i homologacije</w:t>
            </w:r>
            <w:r w:rsidRPr="004259B4">
              <w:rPr>
                <w:spacing w:val="-10"/>
                <w:lang w:val="hr-HR"/>
              </w:rPr>
              <w:t xml:space="preserve"> </w:t>
            </w:r>
            <w:r w:rsidRPr="004259B4">
              <w:rPr>
                <w:lang w:val="hr-HR"/>
              </w:rPr>
              <w:t>vozila,</w:t>
            </w:r>
            <w:r w:rsidRPr="004259B4">
              <w:rPr>
                <w:spacing w:val="-5"/>
                <w:lang w:val="hr-HR"/>
              </w:rPr>
              <w:t xml:space="preserve"> </w:t>
            </w:r>
            <w:r w:rsidRPr="004259B4">
              <w:rPr>
                <w:lang w:val="hr-HR"/>
              </w:rPr>
              <w:t>te</w:t>
            </w:r>
            <w:r w:rsidRPr="004259B4">
              <w:rPr>
                <w:spacing w:val="-1"/>
                <w:lang w:val="hr-HR"/>
              </w:rPr>
              <w:t xml:space="preserve"> </w:t>
            </w:r>
            <w:r w:rsidRPr="004259B4">
              <w:rPr>
                <w:lang w:val="hr-HR"/>
              </w:rPr>
              <w:t>poslova</w:t>
            </w:r>
            <w:r w:rsidRPr="004259B4">
              <w:rPr>
                <w:spacing w:val="-6"/>
                <w:lang w:val="hr-HR"/>
              </w:rPr>
              <w:t xml:space="preserve"> </w:t>
            </w:r>
            <w:r w:rsidRPr="004259B4">
              <w:rPr>
                <w:lang w:val="hr-HR"/>
              </w:rPr>
              <w:t>koji</w:t>
            </w:r>
            <w:r w:rsidRPr="004259B4">
              <w:rPr>
                <w:spacing w:val="-3"/>
                <w:lang w:val="hr-HR"/>
              </w:rPr>
              <w:t xml:space="preserve"> </w:t>
            </w:r>
            <w:r w:rsidRPr="004259B4">
              <w:rPr>
                <w:lang w:val="hr-HR"/>
              </w:rPr>
              <w:t>su s tim</w:t>
            </w:r>
            <w:r w:rsidRPr="004259B4">
              <w:rPr>
                <w:spacing w:val="-3"/>
                <w:lang w:val="hr-HR"/>
              </w:rPr>
              <w:t xml:space="preserve"> </w:t>
            </w:r>
            <w:r w:rsidRPr="004259B4">
              <w:rPr>
                <w:lang w:val="hr-HR"/>
              </w:rPr>
              <w:t>neposredno</w:t>
            </w:r>
            <w:r w:rsidRPr="004259B4">
              <w:rPr>
                <w:spacing w:val="-9"/>
                <w:lang w:val="hr-HR"/>
              </w:rPr>
              <w:t xml:space="preserve"> </w:t>
            </w:r>
            <w:r w:rsidRPr="004259B4">
              <w:rPr>
                <w:lang w:val="hr-HR"/>
              </w:rPr>
              <w:t>povezani,</w:t>
            </w:r>
            <w:r w:rsidRPr="004259B4">
              <w:rPr>
                <w:spacing w:val="40"/>
                <w:lang w:val="hr-HR"/>
              </w:rPr>
              <w:t xml:space="preserve"> </w:t>
            </w:r>
            <w:r w:rsidRPr="004259B4">
              <w:rPr>
                <w:lang w:val="hr-HR"/>
              </w:rPr>
              <w:t>t</w:t>
            </w:r>
            <w:r w:rsidRPr="004259B4">
              <w:rPr>
                <w:spacing w:val="-3"/>
                <w:lang w:val="hr-HR"/>
              </w:rPr>
              <w:t>r</w:t>
            </w:r>
            <w:r w:rsidRPr="004259B4">
              <w:rPr>
                <w:lang w:val="hr-HR"/>
              </w:rPr>
              <w:t>govina</w:t>
            </w:r>
            <w:r w:rsidRPr="004259B4">
              <w:rPr>
                <w:spacing w:val="-6"/>
                <w:lang w:val="hr-HR"/>
              </w:rPr>
              <w:t xml:space="preserve"> </w:t>
            </w:r>
            <w:r w:rsidRPr="004259B4">
              <w:rPr>
                <w:lang w:val="hr-HR"/>
              </w:rPr>
              <w:t>automobilima, iznajmljivanje</w:t>
            </w:r>
            <w:r w:rsidRPr="004259B4">
              <w:rPr>
                <w:spacing w:val="-11"/>
                <w:lang w:val="hr-HR"/>
              </w:rPr>
              <w:t xml:space="preserve"> </w:t>
            </w:r>
            <w:r w:rsidRPr="004259B4">
              <w:rPr>
                <w:lang w:val="hr-HR"/>
              </w:rPr>
              <w:t>automobila,</w:t>
            </w:r>
            <w:r w:rsidRPr="004259B4">
              <w:rPr>
                <w:spacing w:val="-9"/>
                <w:lang w:val="hr-HR"/>
              </w:rPr>
              <w:t xml:space="preserve"> </w:t>
            </w:r>
            <w:r w:rsidRPr="004259B4">
              <w:rPr>
                <w:lang w:val="hr-HR"/>
              </w:rPr>
              <w:t>javnobilježn</w:t>
            </w:r>
            <w:r w:rsidRPr="004259B4">
              <w:rPr>
                <w:spacing w:val="-1"/>
                <w:lang w:val="hr-HR"/>
              </w:rPr>
              <w:t>i</w:t>
            </w:r>
            <w:r w:rsidRPr="004259B4">
              <w:rPr>
                <w:lang w:val="hr-HR"/>
              </w:rPr>
              <w:t>čka</w:t>
            </w:r>
            <w:r w:rsidRPr="004259B4">
              <w:rPr>
                <w:spacing w:val="-12"/>
                <w:lang w:val="hr-HR"/>
              </w:rPr>
              <w:t xml:space="preserve"> </w:t>
            </w:r>
            <w:r w:rsidRPr="004259B4">
              <w:rPr>
                <w:lang w:val="hr-HR"/>
              </w:rPr>
              <w:t>i</w:t>
            </w:r>
            <w:r w:rsidRPr="004259B4">
              <w:rPr>
                <w:spacing w:val="-1"/>
                <w:lang w:val="hr-HR"/>
              </w:rPr>
              <w:t xml:space="preserve"> </w:t>
            </w:r>
            <w:r w:rsidRPr="004259B4">
              <w:rPr>
                <w:lang w:val="hr-HR"/>
              </w:rPr>
              <w:t>odvjetnička</w:t>
            </w:r>
            <w:r w:rsidRPr="004259B4">
              <w:rPr>
                <w:spacing w:val="-8"/>
                <w:lang w:val="hr-HR"/>
              </w:rPr>
              <w:t xml:space="preserve"> </w:t>
            </w:r>
            <w:r w:rsidRPr="004259B4">
              <w:rPr>
                <w:lang w:val="hr-HR"/>
              </w:rPr>
              <w:t>djelatnost,</w:t>
            </w:r>
            <w:r w:rsidRPr="004259B4">
              <w:rPr>
                <w:spacing w:val="-8"/>
                <w:lang w:val="hr-HR"/>
              </w:rPr>
              <w:t xml:space="preserve"> </w:t>
            </w:r>
            <w:r w:rsidRPr="004259B4">
              <w:rPr>
                <w:lang w:val="hr-HR"/>
              </w:rPr>
              <w:t>prateće</w:t>
            </w:r>
            <w:r w:rsidRPr="004259B4">
              <w:rPr>
                <w:spacing w:val="-5"/>
                <w:lang w:val="hr-HR"/>
              </w:rPr>
              <w:t xml:space="preserve"> </w:t>
            </w:r>
            <w:r w:rsidRPr="004259B4">
              <w:rPr>
                <w:lang w:val="hr-HR"/>
              </w:rPr>
              <w:t>i</w:t>
            </w:r>
            <w:r w:rsidRPr="004259B4">
              <w:rPr>
                <w:spacing w:val="-1"/>
                <w:lang w:val="hr-HR"/>
              </w:rPr>
              <w:t xml:space="preserve"> </w:t>
            </w:r>
            <w:r w:rsidRPr="004259B4">
              <w:rPr>
                <w:lang w:val="hr-HR"/>
              </w:rPr>
              <w:t>pomoćne djelatnosti</w:t>
            </w:r>
            <w:r w:rsidRPr="004259B4">
              <w:rPr>
                <w:spacing w:val="-8"/>
                <w:lang w:val="hr-HR"/>
              </w:rPr>
              <w:t xml:space="preserve"> </w:t>
            </w:r>
            <w:r w:rsidRPr="004259B4">
              <w:rPr>
                <w:lang w:val="hr-HR"/>
              </w:rPr>
              <w:t>u prometu,</w:t>
            </w:r>
            <w:r w:rsidRPr="004259B4">
              <w:rPr>
                <w:spacing w:val="-7"/>
                <w:lang w:val="hr-HR"/>
              </w:rPr>
              <w:t xml:space="preserve"> </w:t>
            </w:r>
            <w:r w:rsidRPr="004259B4">
              <w:rPr>
                <w:lang w:val="hr-HR"/>
              </w:rPr>
              <w:t>poštanske</w:t>
            </w:r>
            <w:r w:rsidRPr="004259B4">
              <w:rPr>
                <w:spacing w:val="-7"/>
                <w:lang w:val="hr-HR"/>
              </w:rPr>
              <w:t xml:space="preserve"> </w:t>
            </w:r>
            <w:r w:rsidRPr="004259B4">
              <w:rPr>
                <w:lang w:val="hr-HR"/>
              </w:rPr>
              <w:t>usluge,</w:t>
            </w:r>
            <w:r w:rsidRPr="004259B4">
              <w:rPr>
                <w:spacing w:val="-5"/>
                <w:lang w:val="hr-HR"/>
              </w:rPr>
              <w:t xml:space="preserve"> </w:t>
            </w:r>
            <w:r w:rsidRPr="004259B4">
              <w:rPr>
                <w:lang w:val="hr-HR"/>
              </w:rPr>
              <w:t>projektiranje</w:t>
            </w:r>
            <w:r w:rsidRPr="004259B4">
              <w:rPr>
                <w:spacing w:val="-10"/>
                <w:lang w:val="hr-HR"/>
              </w:rPr>
              <w:t xml:space="preserve"> </w:t>
            </w:r>
            <w:r w:rsidRPr="004259B4">
              <w:rPr>
                <w:lang w:val="hr-HR"/>
              </w:rPr>
              <w:t>i</w:t>
            </w:r>
            <w:r w:rsidRPr="004259B4">
              <w:rPr>
                <w:spacing w:val="-1"/>
                <w:lang w:val="hr-HR"/>
              </w:rPr>
              <w:t xml:space="preserve"> </w:t>
            </w:r>
            <w:r w:rsidRPr="004259B4">
              <w:rPr>
                <w:lang w:val="hr-HR"/>
              </w:rPr>
              <w:t>nadzor</w:t>
            </w:r>
          </w:p>
          <w:p w14:paraId="2ACFECCA" w14:textId="77777777" w:rsidR="00FD3D2E" w:rsidRPr="004259B4" w:rsidRDefault="00FD3D2E" w:rsidP="00FD3D2E">
            <w:pPr>
              <w:spacing w:line="250" w:lineRule="auto"/>
              <w:ind w:left="103" w:right="56"/>
              <w:jc w:val="both"/>
              <w:rPr>
                <w:lang w:val="hr-HR"/>
              </w:rPr>
            </w:pPr>
          </w:p>
          <w:p w14:paraId="74AE7087" w14:textId="77777777" w:rsidR="00FD3D2E" w:rsidRPr="004259B4" w:rsidRDefault="00FD3D2E" w:rsidP="00FD3D2E">
            <w:pPr>
              <w:spacing w:line="250" w:lineRule="auto"/>
              <w:ind w:left="103" w:right="56"/>
              <w:jc w:val="both"/>
              <w:rPr>
                <w:lang w:val="hr-HR"/>
              </w:rPr>
            </w:pPr>
          </w:p>
          <w:p w14:paraId="7ECD23FA" w14:textId="090A8C21" w:rsidR="00FD3D2E" w:rsidRPr="004259B4" w:rsidRDefault="00FD3D2E" w:rsidP="00FD3D2E">
            <w:pPr>
              <w:spacing w:line="250" w:lineRule="auto"/>
              <w:ind w:left="103" w:right="56"/>
              <w:jc w:val="both"/>
              <w:rPr>
                <w:lang w:val="hr-HR"/>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1EEA21F6" w14:textId="77777777" w:rsidR="002A0EE2" w:rsidRPr="004259B4" w:rsidRDefault="002A0EE2" w:rsidP="00A5634A">
            <w:pPr>
              <w:ind w:left="345" w:right="-20"/>
              <w:rPr>
                <w:lang w:val="hr-HR"/>
              </w:rPr>
            </w:pPr>
            <w:r w:rsidRPr="004259B4">
              <w:rPr>
                <w:lang w:val="hr-HR"/>
              </w:rPr>
              <w:t>- koeficijent</w:t>
            </w:r>
            <w:r w:rsidRPr="004259B4">
              <w:rPr>
                <w:spacing w:val="-17"/>
                <w:lang w:val="hr-HR"/>
              </w:rPr>
              <w:t xml:space="preserve"> </w:t>
            </w:r>
            <w:r w:rsidRPr="004259B4">
              <w:rPr>
                <w:lang w:val="hr-HR"/>
              </w:rPr>
              <w:t>10,00</w:t>
            </w:r>
          </w:p>
        </w:tc>
      </w:tr>
      <w:tr w:rsidR="004259B4" w:rsidRPr="004259B4" w14:paraId="45397998" w14:textId="77777777" w:rsidTr="002204CC">
        <w:trPr>
          <w:trHeight w:hRule="exact" w:val="359"/>
        </w:trPr>
        <w:tc>
          <w:tcPr>
            <w:tcW w:w="7200" w:type="dxa"/>
            <w:tcBorders>
              <w:top w:val="single" w:sz="4" w:space="0" w:color="000000"/>
              <w:left w:val="single" w:sz="4" w:space="0" w:color="000000"/>
              <w:bottom w:val="single" w:sz="4" w:space="0" w:color="000000"/>
              <w:right w:val="single" w:sz="4" w:space="0" w:color="000000"/>
            </w:tcBorders>
            <w:vAlign w:val="center"/>
          </w:tcPr>
          <w:p w14:paraId="19E444EF" w14:textId="26EC8F93" w:rsidR="002A0EE2" w:rsidRPr="004259B4" w:rsidRDefault="00FD3D2E" w:rsidP="00A5634A">
            <w:pPr>
              <w:spacing w:before="62"/>
              <w:ind w:left="103" w:right="-20"/>
              <w:rPr>
                <w:lang w:val="hr-HR"/>
              </w:rPr>
            </w:pPr>
            <w:r w:rsidRPr="004259B4">
              <w:rPr>
                <w:lang w:val="hr-HR"/>
              </w:rPr>
              <w:t>p</w:t>
            </w:r>
            <w:r w:rsidR="002A0EE2" w:rsidRPr="004259B4">
              <w:rPr>
                <w:lang w:val="hr-HR"/>
              </w:rPr>
              <w:t>oslovni</w:t>
            </w:r>
            <w:r w:rsidR="002A0EE2" w:rsidRPr="004259B4">
              <w:rPr>
                <w:spacing w:val="-7"/>
                <w:lang w:val="hr-HR"/>
              </w:rPr>
              <w:t xml:space="preserve"> </w:t>
            </w:r>
            <w:r w:rsidR="002A0EE2" w:rsidRPr="004259B4">
              <w:rPr>
                <w:lang w:val="hr-HR"/>
              </w:rPr>
              <w:t>prostor koji</w:t>
            </w:r>
            <w:r w:rsidR="002A0EE2" w:rsidRPr="004259B4">
              <w:rPr>
                <w:spacing w:val="-3"/>
                <w:lang w:val="hr-HR"/>
              </w:rPr>
              <w:t xml:space="preserve"> </w:t>
            </w:r>
            <w:r w:rsidR="002A0EE2" w:rsidRPr="004259B4">
              <w:rPr>
                <w:lang w:val="hr-HR"/>
              </w:rPr>
              <w:t>služi</w:t>
            </w:r>
            <w:r w:rsidR="002A0EE2" w:rsidRPr="004259B4">
              <w:rPr>
                <w:spacing w:val="-4"/>
                <w:lang w:val="hr-HR"/>
              </w:rPr>
              <w:t xml:space="preserve"> </w:t>
            </w:r>
            <w:r w:rsidR="002A0EE2" w:rsidRPr="004259B4">
              <w:rPr>
                <w:lang w:val="hr-HR"/>
              </w:rPr>
              <w:t>za</w:t>
            </w:r>
            <w:r w:rsidR="002A0EE2" w:rsidRPr="004259B4">
              <w:rPr>
                <w:spacing w:val="-2"/>
                <w:lang w:val="hr-HR"/>
              </w:rPr>
              <w:t xml:space="preserve"> </w:t>
            </w:r>
            <w:r w:rsidR="002A0EE2" w:rsidRPr="004259B4">
              <w:rPr>
                <w:lang w:val="hr-HR"/>
              </w:rPr>
              <w:t>ostale</w:t>
            </w:r>
            <w:r w:rsidR="002A0EE2" w:rsidRPr="004259B4">
              <w:rPr>
                <w:spacing w:val="-4"/>
                <w:lang w:val="hr-HR"/>
              </w:rPr>
              <w:t xml:space="preserve"> </w:t>
            </w:r>
            <w:r w:rsidR="002A0EE2" w:rsidRPr="004259B4">
              <w:rPr>
                <w:lang w:val="hr-HR"/>
              </w:rPr>
              <w:t>djelatnosti</w:t>
            </w:r>
          </w:p>
        </w:tc>
        <w:tc>
          <w:tcPr>
            <w:tcW w:w="2088" w:type="dxa"/>
            <w:tcBorders>
              <w:top w:val="single" w:sz="4" w:space="0" w:color="000000"/>
              <w:left w:val="single" w:sz="4" w:space="0" w:color="000000"/>
              <w:bottom w:val="single" w:sz="4" w:space="0" w:color="000000"/>
              <w:right w:val="single" w:sz="4" w:space="0" w:color="000000"/>
            </w:tcBorders>
            <w:vAlign w:val="center"/>
          </w:tcPr>
          <w:p w14:paraId="653534DA" w14:textId="77777777" w:rsidR="002A0EE2" w:rsidRPr="004259B4" w:rsidRDefault="002A0EE2" w:rsidP="00A5634A">
            <w:pPr>
              <w:spacing w:before="62"/>
              <w:ind w:left="393" w:right="-20"/>
              <w:rPr>
                <w:lang w:val="hr-HR"/>
              </w:rPr>
            </w:pPr>
            <w:r w:rsidRPr="004259B4">
              <w:rPr>
                <w:lang w:val="hr-HR"/>
              </w:rPr>
              <w:t>- koeficijent</w:t>
            </w:r>
            <w:r w:rsidRPr="004259B4">
              <w:rPr>
                <w:spacing w:val="-17"/>
                <w:lang w:val="hr-HR"/>
              </w:rPr>
              <w:t xml:space="preserve"> </w:t>
            </w:r>
            <w:r w:rsidRPr="004259B4">
              <w:rPr>
                <w:lang w:val="hr-HR"/>
              </w:rPr>
              <w:t>5,00</w:t>
            </w:r>
          </w:p>
        </w:tc>
      </w:tr>
      <w:tr w:rsidR="004259B4" w:rsidRPr="004259B4" w14:paraId="73EF9A97" w14:textId="77777777" w:rsidTr="002204CC">
        <w:trPr>
          <w:trHeight w:hRule="exact" w:val="1205"/>
        </w:trPr>
        <w:tc>
          <w:tcPr>
            <w:tcW w:w="7200" w:type="dxa"/>
            <w:tcBorders>
              <w:top w:val="single" w:sz="4" w:space="0" w:color="000000"/>
              <w:left w:val="single" w:sz="4" w:space="0" w:color="000000"/>
              <w:bottom w:val="single" w:sz="4" w:space="0" w:color="000000"/>
              <w:right w:val="single" w:sz="4" w:space="0" w:color="000000"/>
            </w:tcBorders>
            <w:vAlign w:val="center"/>
          </w:tcPr>
          <w:p w14:paraId="48FA935C" w14:textId="62A4F864" w:rsidR="002A0EE2" w:rsidRPr="004259B4" w:rsidRDefault="00FD3D2E" w:rsidP="00A5634A">
            <w:pPr>
              <w:spacing w:before="62"/>
              <w:ind w:left="103" w:right="-20"/>
              <w:rPr>
                <w:lang w:val="hr-HR"/>
              </w:rPr>
            </w:pPr>
            <w:r w:rsidRPr="004259B4">
              <w:rPr>
                <w:lang w:val="hr-HR"/>
              </w:rPr>
              <w:t>g</w:t>
            </w:r>
            <w:r w:rsidR="002A0EE2" w:rsidRPr="004259B4">
              <w:rPr>
                <w:lang w:val="hr-HR"/>
              </w:rPr>
              <w:t>rađevno</w:t>
            </w:r>
            <w:r w:rsidR="002A0EE2" w:rsidRPr="004259B4">
              <w:rPr>
                <w:spacing w:val="-4"/>
                <w:lang w:val="hr-HR"/>
              </w:rPr>
              <w:t xml:space="preserve"> </w:t>
            </w:r>
            <w:r w:rsidR="002A0EE2" w:rsidRPr="004259B4">
              <w:rPr>
                <w:lang w:val="hr-HR"/>
              </w:rPr>
              <w:t>zemljište</w:t>
            </w:r>
            <w:r w:rsidR="002A0EE2" w:rsidRPr="004259B4">
              <w:rPr>
                <w:spacing w:val="-7"/>
                <w:lang w:val="hr-HR"/>
              </w:rPr>
              <w:t xml:space="preserve"> </w:t>
            </w:r>
            <w:r w:rsidR="002A0EE2" w:rsidRPr="004259B4">
              <w:rPr>
                <w:lang w:val="hr-HR"/>
              </w:rPr>
              <w:t>koje</w:t>
            </w:r>
            <w:r w:rsidR="002A0EE2" w:rsidRPr="004259B4">
              <w:rPr>
                <w:spacing w:val="-3"/>
                <w:lang w:val="hr-HR"/>
              </w:rPr>
              <w:t xml:space="preserve"> </w:t>
            </w:r>
            <w:r w:rsidR="002A0EE2" w:rsidRPr="004259B4">
              <w:rPr>
                <w:lang w:val="hr-HR"/>
              </w:rPr>
              <w:t>služi</w:t>
            </w:r>
            <w:r w:rsidR="002A0EE2" w:rsidRPr="004259B4">
              <w:rPr>
                <w:spacing w:val="-4"/>
                <w:lang w:val="hr-HR"/>
              </w:rPr>
              <w:t xml:space="preserve"> </w:t>
            </w:r>
            <w:r w:rsidR="002A0EE2" w:rsidRPr="004259B4">
              <w:rPr>
                <w:lang w:val="hr-HR"/>
              </w:rPr>
              <w:t>u svrhu obavljanja</w:t>
            </w:r>
            <w:r w:rsidR="002A0EE2" w:rsidRPr="004259B4">
              <w:rPr>
                <w:spacing w:val="-8"/>
                <w:lang w:val="hr-HR"/>
              </w:rPr>
              <w:t xml:space="preserve"> </w:t>
            </w:r>
            <w:r w:rsidR="002A0EE2" w:rsidRPr="004259B4">
              <w:rPr>
                <w:lang w:val="hr-HR"/>
              </w:rPr>
              <w:t>poslovne</w:t>
            </w:r>
            <w:r w:rsidR="002A0EE2" w:rsidRPr="004259B4">
              <w:rPr>
                <w:spacing w:val="-7"/>
                <w:lang w:val="hr-HR"/>
              </w:rPr>
              <w:t xml:space="preserve"> </w:t>
            </w:r>
            <w:r w:rsidR="002A0EE2" w:rsidRPr="004259B4">
              <w:rPr>
                <w:lang w:val="hr-HR"/>
              </w:rPr>
              <w:t>djelatnosti</w:t>
            </w:r>
            <w:r w:rsidR="002A0EE2" w:rsidRPr="004259B4">
              <w:rPr>
                <w:spacing w:val="-8"/>
                <w:lang w:val="hr-HR"/>
              </w:rPr>
              <w:t xml:space="preserve"> </w:t>
            </w:r>
            <w:r w:rsidR="002A0EE2" w:rsidRPr="004259B4">
              <w:rPr>
                <w:lang w:val="hr-HR"/>
              </w:rPr>
              <w:t>ko</w:t>
            </w:r>
            <w:r w:rsidR="002A0EE2" w:rsidRPr="004259B4">
              <w:rPr>
                <w:spacing w:val="-1"/>
                <w:lang w:val="hr-HR"/>
              </w:rPr>
              <w:t>e</w:t>
            </w:r>
            <w:r w:rsidR="002A0EE2" w:rsidRPr="004259B4">
              <w:rPr>
                <w:lang w:val="hr-HR"/>
              </w:rPr>
              <w:t>ficijent</w:t>
            </w:r>
            <w:r w:rsidR="002A0EE2" w:rsidRPr="004259B4">
              <w:rPr>
                <w:spacing w:val="-17"/>
                <w:lang w:val="hr-HR"/>
              </w:rPr>
              <w:t xml:space="preserve"> </w:t>
            </w:r>
            <w:r w:rsidR="002A0EE2" w:rsidRPr="004259B4">
              <w:rPr>
                <w:lang w:val="hr-HR"/>
              </w:rPr>
              <w:t>iznosi</w:t>
            </w:r>
          </w:p>
          <w:p w14:paraId="4FF413C7" w14:textId="77777777" w:rsidR="002A0EE2" w:rsidRPr="004259B4" w:rsidRDefault="002A0EE2" w:rsidP="00A5634A">
            <w:pPr>
              <w:spacing w:before="9"/>
              <w:ind w:left="103" w:right="-20"/>
              <w:rPr>
                <w:lang w:val="hr-HR"/>
              </w:rPr>
            </w:pPr>
            <w:r w:rsidRPr="004259B4">
              <w:rPr>
                <w:lang w:val="hr-HR"/>
              </w:rPr>
              <w:t>10% koeficijenta</w:t>
            </w:r>
            <w:r w:rsidRPr="004259B4">
              <w:rPr>
                <w:spacing w:val="-18"/>
                <w:lang w:val="hr-HR"/>
              </w:rPr>
              <w:t xml:space="preserve"> </w:t>
            </w:r>
            <w:r w:rsidRPr="004259B4">
              <w:rPr>
                <w:lang w:val="hr-HR"/>
              </w:rPr>
              <w:t>namjene</w:t>
            </w:r>
            <w:r w:rsidRPr="004259B4">
              <w:rPr>
                <w:spacing w:val="-6"/>
                <w:lang w:val="hr-HR"/>
              </w:rPr>
              <w:t xml:space="preserve"> </w:t>
            </w:r>
            <w:r w:rsidRPr="004259B4">
              <w:rPr>
                <w:lang w:val="hr-HR"/>
              </w:rPr>
              <w:t>koji</w:t>
            </w:r>
            <w:r w:rsidRPr="004259B4">
              <w:rPr>
                <w:spacing w:val="-3"/>
                <w:lang w:val="hr-HR"/>
              </w:rPr>
              <w:t xml:space="preserve"> </w:t>
            </w:r>
            <w:r w:rsidRPr="004259B4">
              <w:rPr>
                <w:lang w:val="hr-HR"/>
              </w:rPr>
              <w:t>je</w:t>
            </w:r>
            <w:r w:rsidRPr="004259B4">
              <w:rPr>
                <w:spacing w:val="-1"/>
                <w:lang w:val="hr-HR"/>
              </w:rPr>
              <w:t xml:space="preserve"> </w:t>
            </w:r>
            <w:r w:rsidRPr="004259B4">
              <w:rPr>
                <w:lang w:val="hr-HR"/>
              </w:rPr>
              <w:t>određen</w:t>
            </w:r>
            <w:r w:rsidRPr="004259B4">
              <w:rPr>
                <w:spacing w:val="-5"/>
                <w:lang w:val="hr-HR"/>
              </w:rPr>
              <w:t xml:space="preserve"> </w:t>
            </w:r>
            <w:r w:rsidRPr="004259B4">
              <w:rPr>
                <w:lang w:val="hr-HR"/>
              </w:rPr>
              <w:t>za</w:t>
            </w:r>
            <w:r w:rsidRPr="004259B4">
              <w:rPr>
                <w:spacing w:val="-2"/>
                <w:lang w:val="hr-HR"/>
              </w:rPr>
              <w:t xml:space="preserve"> </w:t>
            </w:r>
            <w:r w:rsidRPr="004259B4">
              <w:rPr>
                <w:lang w:val="hr-HR"/>
              </w:rPr>
              <w:t>poslovni</w:t>
            </w:r>
            <w:r w:rsidRPr="004259B4">
              <w:rPr>
                <w:spacing w:val="-7"/>
                <w:lang w:val="hr-HR"/>
              </w:rPr>
              <w:t xml:space="preserve"> </w:t>
            </w:r>
            <w:r w:rsidRPr="004259B4">
              <w:rPr>
                <w:lang w:val="hr-HR"/>
              </w:rPr>
              <w:t>prosto</w:t>
            </w:r>
            <w:r w:rsidRPr="004259B4">
              <w:rPr>
                <w:spacing w:val="-10"/>
                <w:lang w:val="hr-HR"/>
              </w:rPr>
              <w:t>r</w:t>
            </w:r>
            <w:r w:rsidRPr="004259B4">
              <w:rPr>
                <w:lang w:val="hr-HR"/>
              </w:rPr>
              <w:t xml:space="preserve">. </w:t>
            </w:r>
          </w:p>
        </w:tc>
        <w:tc>
          <w:tcPr>
            <w:tcW w:w="2088" w:type="dxa"/>
            <w:tcBorders>
              <w:top w:val="single" w:sz="4" w:space="0" w:color="000000"/>
              <w:left w:val="single" w:sz="4" w:space="0" w:color="000000"/>
              <w:bottom w:val="single" w:sz="4" w:space="0" w:color="000000"/>
              <w:right w:val="single" w:sz="4" w:space="0" w:color="000000"/>
            </w:tcBorders>
            <w:vAlign w:val="center"/>
          </w:tcPr>
          <w:p w14:paraId="61A78D96" w14:textId="0542BA3A" w:rsidR="002A0EE2" w:rsidRPr="004259B4" w:rsidRDefault="002A0EE2" w:rsidP="00FD3D2E">
            <w:pPr>
              <w:pStyle w:val="ListParagraph"/>
              <w:rPr>
                <w:lang w:val="hr-HR"/>
              </w:rPr>
            </w:pPr>
          </w:p>
        </w:tc>
      </w:tr>
    </w:tbl>
    <w:p w14:paraId="4A0A90A9" w14:textId="77777777" w:rsidR="0058022B" w:rsidRPr="004259B4" w:rsidRDefault="0058022B">
      <w:pPr>
        <w:jc w:val="both"/>
        <w:rPr>
          <w:iCs/>
          <w:lang w:val="hr-HR"/>
        </w:rPr>
      </w:pPr>
    </w:p>
    <w:p w14:paraId="125C7C56" w14:textId="77777777" w:rsidR="0058022B" w:rsidRPr="004259B4" w:rsidRDefault="0058022B" w:rsidP="0026048D">
      <w:pPr>
        <w:ind w:firstLine="709"/>
        <w:jc w:val="both"/>
        <w:rPr>
          <w:iCs/>
          <w:lang w:val="hr-HR"/>
        </w:rPr>
      </w:pPr>
      <w:r w:rsidRPr="004259B4">
        <w:rPr>
          <w:iCs/>
          <w:lang w:val="hr-HR"/>
        </w:rPr>
        <w:t>Za poslovni prostor i građevno zemljište koje služi u svrhu obavljanja poslovne djelatnosti, u slučaju kad se poslovna djelatnost ne obavlja više od 6 mjeseci u kalendarskoj godini, koeficijent namjene umanjuje za 50%, ali ne može biti manji od koeficijenta namjene za stambeni prostor, odnosno neizgrađeno građevno zemljište.</w:t>
      </w:r>
    </w:p>
    <w:p w14:paraId="011ABA06" w14:textId="77777777" w:rsidR="0058022B" w:rsidRPr="004259B4" w:rsidRDefault="0058022B" w:rsidP="0026048D">
      <w:pPr>
        <w:ind w:firstLine="709"/>
        <w:jc w:val="both"/>
        <w:rPr>
          <w:iCs/>
          <w:lang w:val="hr-HR"/>
        </w:rPr>
      </w:pPr>
      <w:r w:rsidRPr="004259B4">
        <w:rPr>
          <w:iCs/>
          <w:lang w:val="hr-HR"/>
        </w:rPr>
        <w:t>Ako se u poslovnom prostoru istodobno obavlja proizvodna i ostala djelatnost za osnov obračuna uzet će se koeficijent poslovnog prostora koji služi za ostale djelatnosti.</w:t>
      </w:r>
    </w:p>
    <w:p w14:paraId="795F364B" w14:textId="77777777" w:rsidR="002A0EE2" w:rsidRPr="004259B4" w:rsidRDefault="0058022B" w:rsidP="0026048D">
      <w:pPr>
        <w:ind w:firstLine="709"/>
        <w:jc w:val="both"/>
        <w:rPr>
          <w:iCs/>
          <w:lang w:val="hr-HR"/>
        </w:rPr>
      </w:pPr>
      <w:r w:rsidRPr="004259B4">
        <w:rPr>
          <w:iCs/>
          <w:lang w:val="hr-HR"/>
        </w:rPr>
        <w:t>Za hotele, apartmanska naselja i kampove visina godišnje komunalne naknade iznosi 1,5% ukupnog godišnjeg prihoda iz prethodne godine ostvarenog u hotelima, apartmanskim naseljima i kampovima koji se nalaze na području Grada Samobora.</w:t>
      </w:r>
    </w:p>
    <w:p w14:paraId="54B2CB57" w14:textId="77777777" w:rsidR="004C30A9" w:rsidRPr="004259B4" w:rsidRDefault="004C30A9" w:rsidP="004C30A9">
      <w:pPr>
        <w:jc w:val="both"/>
        <w:rPr>
          <w:b/>
          <w:bCs/>
          <w:iCs/>
          <w:sz w:val="26"/>
          <w:lang w:val="hr-HR"/>
        </w:rPr>
      </w:pPr>
    </w:p>
    <w:p w14:paraId="6A2FA3CA" w14:textId="77777777" w:rsidR="002204CC" w:rsidRPr="004259B4" w:rsidRDefault="002204CC" w:rsidP="004C30A9">
      <w:pPr>
        <w:jc w:val="both"/>
        <w:rPr>
          <w:b/>
          <w:bCs/>
          <w:iCs/>
          <w:sz w:val="26"/>
          <w:lang w:val="hr-HR"/>
        </w:rPr>
      </w:pPr>
    </w:p>
    <w:p w14:paraId="40AB7EC2" w14:textId="55E53299" w:rsidR="0058022B" w:rsidRPr="004259B4" w:rsidRDefault="00520DA4" w:rsidP="00FD3D2E">
      <w:pPr>
        <w:pStyle w:val="Heading9"/>
        <w:numPr>
          <w:ilvl w:val="0"/>
          <w:numId w:val="24"/>
        </w:numPr>
        <w:jc w:val="left"/>
        <w:rPr>
          <w:sz w:val="24"/>
          <w:lang w:val="hr-HR"/>
        </w:rPr>
      </w:pPr>
      <w:r w:rsidRPr="004259B4">
        <w:rPr>
          <w:sz w:val="24"/>
          <w:lang w:val="hr-HR"/>
        </w:rPr>
        <w:t>NAČIN PLAĆANJA</w:t>
      </w:r>
    </w:p>
    <w:p w14:paraId="0E2AB46B" w14:textId="77777777" w:rsidR="0058022B" w:rsidRPr="004259B4" w:rsidRDefault="0058022B">
      <w:pPr>
        <w:jc w:val="both"/>
        <w:rPr>
          <w:iCs/>
          <w:lang w:val="hr-HR"/>
        </w:rPr>
      </w:pPr>
    </w:p>
    <w:p w14:paraId="17581B7B" w14:textId="77777777" w:rsidR="0058022B" w:rsidRPr="004259B4" w:rsidRDefault="008E66A5">
      <w:pPr>
        <w:jc w:val="center"/>
        <w:rPr>
          <w:b/>
          <w:bCs/>
          <w:iCs/>
          <w:lang w:val="hr-HR"/>
        </w:rPr>
      </w:pPr>
      <w:r w:rsidRPr="004259B4">
        <w:rPr>
          <w:b/>
          <w:bCs/>
          <w:iCs/>
          <w:lang w:val="hr-HR"/>
        </w:rPr>
        <w:t>Članak 14</w:t>
      </w:r>
      <w:r w:rsidR="0058022B" w:rsidRPr="004259B4">
        <w:rPr>
          <w:b/>
          <w:bCs/>
          <w:iCs/>
          <w:lang w:val="hr-HR"/>
        </w:rPr>
        <w:t>.</w:t>
      </w:r>
    </w:p>
    <w:p w14:paraId="2A22F069" w14:textId="77777777" w:rsidR="0058022B" w:rsidRPr="004259B4" w:rsidRDefault="0058022B" w:rsidP="00CA6F22">
      <w:pPr>
        <w:ind w:firstLine="709"/>
        <w:jc w:val="both"/>
        <w:rPr>
          <w:iCs/>
          <w:lang w:val="hr-HR"/>
        </w:rPr>
      </w:pPr>
      <w:r w:rsidRPr="004259B4">
        <w:rPr>
          <w:iCs/>
          <w:lang w:val="hr-HR"/>
        </w:rPr>
        <w:t>Komunalna naknada plaća se mjesečno, najkasnije do 15-og u mjesecu za protekli mjesec.</w:t>
      </w:r>
    </w:p>
    <w:p w14:paraId="196DC4DD" w14:textId="77777777" w:rsidR="0058022B" w:rsidRPr="004259B4" w:rsidRDefault="0058022B" w:rsidP="00CA6F22">
      <w:pPr>
        <w:ind w:firstLine="709"/>
        <w:jc w:val="both"/>
        <w:rPr>
          <w:iCs/>
          <w:lang w:val="hr-HR"/>
        </w:rPr>
      </w:pPr>
      <w:r w:rsidRPr="004259B4">
        <w:rPr>
          <w:iCs/>
          <w:lang w:val="hr-HR"/>
        </w:rPr>
        <w:t>Obveznik koji ne plati komunalnu naknadu u roku dospijeća, plaća i zateznu kamatu utvrđenu zakonom.</w:t>
      </w:r>
    </w:p>
    <w:p w14:paraId="23260829" w14:textId="77777777" w:rsidR="0058022B" w:rsidRPr="004259B4" w:rsidRDefault="0058022B">
      <w:pPr>
        <w:jc w:val="both"/>
        <w:rPr>
          <w:iCs/>
          <w:lang w:val="hr-HR"/>
        </w:rPr>
      </w:pPr>
    </w:p>
    <w:p w14:paraId="0513D761" w14:textId="77777777" w:rsidR="0058022B" w:rsidRPr="004259B4" w:rsidRDefault="008E66A5">
      <w:pPr>
        <w:jc w:val="center"/>
        <w:rPr>
          <w:b/>
          <w:bCs/>
          <w:iCs/>
          <w:lang w:val="hr-HR"/>
        </w:rPr>
      </w:pPr>
      <w:r w:rsidRPr="004259B4">
        <w:rPr>
          <w:b/>
          <w:bCs/>
          <w:iCs/>
          <w:lang w:val="hr-HR"/>
        </w:rPr>
        <w:t>Članak 15</w:t>
      </w:r>
      <w:r w:rsidR="0058022B" w:rsidRPr="004259B4">
        <w:rPr>
          <w:b/>
          <w:bCs/>
          <w:iCs/>
          <w:lang w:val="hr-HR"/>
        </w:rPr>
        <w:t>.</w:t>
      </w:r>
    </w:p>
    <w:p w14:paraId="653A467B" w14:textId="6C8AE17F" w:rsidR="0058022B" w:rsidRPr="004259B4" w:rsidRDefault="0058022B" w:rsidP="00CA6F22">
      <w:pPr>
        <w:ind w:firstLine="709"/>
        <w:jc w:val="both"/>
        <w:rPr>
          <w:iCs/>
          <w:lang w:val="hr-HR"/>
        </w:rPr>
      </w:pPr>
      <w:r w:rsidRPr="004259B4">
        <w:rPr>
          <w:iCs/>
          <w:lang w:val="hr-HR"/>
        </w:rPr>
        <w:t xml:space="preserve">Obveza plaćanja komunalne naknade nastaje prvog dana od </w:t>
      </w:r>
      <w:r w:rsidR="002204CC" w:rsidRPr="004259B4">
        <w:rPr>
          <w:iCs/>
          <w:lang w:val="hr-HR"/>
        </w:rPr>
        <w:t xml:space="preserve">dana </w:t>
      </w:r>
      <w:r w:rsidRPr="004259B4">
        <w:rPr>
          <w:iCs/>
          <w:lang w:val="hr-HR"/>
        </w:rPr>
        <w:t>stjecanja vlasništva ili korištenja stambenog, poslovnog, garažnog prostora ili građevnog zemljišta.</w:t>
      </w:r>
    </w:p>
    <w:p w14:paraId="07AEB6E7" w14:textId="77777777" w:rsidR="0058022B" w:rsidRPr="004259B4" w:rsidRDefault="0058022B">
      <w:pPr>
        <w:jc w:val="both"/>
        <w:rPr>
          <w:iCs/>
          <w:lang w:val="hr-HR"/>
        </w:rPr>
      </w:pPr>
    </w:p>
    <w:p w14:paraId="2098D7E5" w14:textId="77777777" w:rsidR="00FD3D2E" w:rsidRPr="004259B4" w:rsidRDefault="00FD3D2E" w:rsidP="008F7255">
      <w:pPr>
        <w:pStyle w:val="Heading9"/>
        <w:jc w:val="left"/>
        <w:rPr>
          <w:b w:val="0"/>
          <w:bCs w:val="0"/>
          <w:sz w:val="24"/>
          <w:lang w:val="hr-HR"/>
        </w:rPr>
      </w:pPr>
    </w:p>
    <w:p w14:paraId="4E1CDB8A" w14:textId="787D6A15" w:rsidR="0058022B" w:rsidRPr="004259B4" w:rsidRDefault="0058022B" w:rsidP="00FD3D2E">
      <w:pPr>
        <w:pStyle w:val="Heading9"/>
        <w:numPr>
          <w:ilvl w:val="0"/>
          <w:numId w:val="24"/>
        </w:numPr>
        <w:jc w:val="left"/>
        <w:rPr>
          <w:sz w:val="24"/>
          <w:lang w:val="hr-HR"/>
        </w:rPr>
      </w:pPr>
      <w:r w:rsidRPr="004259B4">
        <w:rPr>
          <w:sz w:val="24"/>
          <w:lang w:val="hr-HR"/>
        </w:rPr>
        <w:t>OSLOBAĐANJE OD PLAĆANJA KOMUNALNE NAKNADE</w:t>
      </w:r>
    </w:p>
    <w:p w14:paraId="441F0D3B" w14:textId="77777777" w:rsidR="0058022B" w:rsidRPr="004259B4" w:rsidRDefault="0058022B">
      <w:pPr>
        <w:jc w:val="both"/>
        <w:rPr>
          <w:iCs/>
          <w:lang w:val="hr-HR"/>
        </w:rPr>
      </w:pPr>
    </w:p>
    <w:p w14:paraId="764B70F0" w14:textId="77777777" w:rsidR="0058022B" w:rsidRPr="004259B4" w:rsidRDefault="008E66A5">
      <w:pPr>
        <w:jc w:val="center"/>
        <w:rPr>
          <w:b/>
          <w:bCs/>
          <w:iCs/>
          <w:lang w:val="hr-HR"/>
        </w:rPr>
      </w:pPr>
      <w:r w:rsidRPr="004259B4">
        <w:rPr>
          <w:b/>
          <w:bCs/>
          <w:iCs/>
          <w:lang w:val="hr-HR"/>
        </w:rPr>
        <w:t>Članak 16</w:t>
      </w:r>
      <w:r w:rsidR="0058022B" w:rsidRPr="004259B4">
        <w:rPr>
          <w:b/>
          <w:bCs/>
          <w:iCs/>
          <w:lang w:val="hr-HR"/>
        </w:rPr>
        <w:t>.</w:t>
      </w:r>
    </w:p>
    <w:p w14:paraId="4738A597" w14:textId="77777777" w:rsidR="0058022B" w:rsidRPr="004259B4" w:rsidRDefault="0081799E" w:rsidP="00CA6F22">
      <w:pPr>
        <w:ind w:firstLine="709"/>
        <w:jc w:val="both"/>
        <w:rPr>
          <w:iCs/>
          <w:lang w:val="hr-HR"/>
        </w:rPr>
      </w:pPr>
      <w:r w:rsidRPr="004259B4">
        <w:rPr>
          <w:iCs/>
          <w:lang w:val="hr-HR"/>
        </w:rPr>
        <w:t xml:space="preserve">Nadležni </w:t>
      </w:r>
      <w:r w:rsidR="002204CC" w:rsidRPr="004259B4">
        <w:rPr>
          <w:iCs/>
          <w:lang w:val="hr-HR"/>
        </w:rPr>
        <w:t>u</w:t>
      </w:r>
      <w:r w:rsidR="0058022B" w:rsidRPr="004259B4">
        <w:rPr>
          <w:iCs/>
          <w:lang w:val="hr-HR"/>
        </w:rPr>
        <w:t>pravni odjel može obveznika plaćanja komunalne naknade za stambeni prostor, na njego</w:t>
      </w:r>
      <w:r w:rsidRPr="004259B4">
        <w:rPr>
          <w:iCs/>
          <w:lang w:val="hr-HR"/>
        </w:rPr>
        <w:t>v pisani zahtjev, osloboditi plaćanja komunalne naknade.</w:t>
      </w:r>
    </w:p>
    <w:p w14:paraId="63357C2D" w14:textId="77777777" w:rsidR="0081799E" w:rsidRPr="004259B4" w:rsidRDefault="0081799E" w:rsidP="00CA6F22">
      <w:pPr>
        <w:ind w:firstLine="709"/>
        <w:jc w:val="both"/>
        <w:rPr>
          <w:iCs/>
          <w:lang w:val="hr-HR"/>
        </w:rPr>
      </w:pPr>
      <w:r w:rsidRPr="004259B4">
        <w:rPr>
          <w:iCs/>
          <w:lang w:val="hr-HR"/>
        </w:rPr>
        <w:t>O oslobađanju plaćanja komunalne naknade odlučuje se rješenjem.</w:t>
      </w:r>
    </w:p>
    <w:p w14:paraId="15E9C0E3" w14:textId="77777777" w:rsidR="0058022B" w:rsidRPr="004259B4" w:rsidRDefault="0058022B" w:rsidP="00CA6F22">
      <w:pPr>
        <w:ind w:firstLine="709"/>
        <w:jc w:val="both"/>
        <w:rPr>
          <w:iCs/>
          <w:lang w:val="hr-HR"/>
        </w:rPr>
      </w:pPr>
      <w:r w:rsidRPr="004259B4">
        <w:rPr>
          <w:iCs/>
          <w:lang w:val="hr-HR"/>
        </w:rPr>
        <w:t>Pravo na oslobađanje od plaćanja komunalne naknade imaju:</w:t>
      </w:r>
    </w:p>
    <w:p w14:paraId="43998594" w14:textId="77777777" w:rsidR="0058022B" w:rsidRPr="004259B4" w:rsidRDefault="0058022B" w:rsidP="00CA6F22">
      <w:pPr>
        <w:pStyle w:val="ListParagraph"/>
        <w:numPr>
          <w:ilvl w:val="0"/>
          <w:numId w:val="18"/>
        </w:numPr>
        <w:ind w:left="1418" w:hanging="425"/>
        <w:jc w:val="both"/>
        <w:rPr>
          <w:iCs/>
          <w:lang w:val="hr-HR"/>
        </w:rPr>
      </w:pPr>
      <w:r w:rsidRPr="004259B4">
        <w:rPr>
          <w:iCs/>
          <w:lang w:val="hr-HR"/>
        </w:rPr>
        <w:t>udovice, roditelji i djeca poginulih branitelja Domovinskog rata</w:t>
      </w:r>
    </w:p>
    <w:p w14:paraId="73A652AF" w14:textId="77777777" w:rsidR="0058022B" w:rsidRPr="004259B4" w:rsidRDefault="0058022B" w:rsidP="00CA6F22">
      <w:pPr>
        <w:pStyle w:val="ListParagraph"/>
        <w:numPr>
          <w:ilvl w:val="0"/>
          <w:numId w:val="18"/>
        </w:numPr>
        <w:ind w:left="1418" w:hanging="425"/>
        <w:jc w:val="both"/>
        <w:rPr>
          <w:iCs/>
          <w:lang w:val="hr-HR"/>
        </w:rPr>
      </w:pPr>
      <w:r w:rsidRPr="004259B4">
        <w:rPr>
          <w:iCs/>
          <w:lang w:val="hr-HR"/>
        </w:rPr>
        <w:t>invalidi Domovinskog rata</w:t>
      </w:r>
    </w:p>
    <w:p w14:paraId="4EBEEE32" w14:textId="77777777" w:rsidR="0058022B" w:rsidRPr="004259B4" w:rsidRDefault="0058022B" w:rsidP="00CA6F22">
      <w:pPr>
        <w:pStyle w:val="ListParagraph"/>
        <w:numPr>
          <w:ilvl w:val="0"/>
          <w:numId w:val="18"/>
        </w:numPr>
        <w:ind w:left="1418" w:hanging="425"/>
        <w:jc w:val="both"/>
        <w:rPr>
          <w:iCs/>
          <w:lang w:val="hr-HR"/>
        </w:rPr>
      </w:pPr>
      <w:r w:rsidRPr="004259B4">
        <w:rPr>
          <w:iCs/>
          <w:lang w:val="hr-HR"/>
        </w:rPr>
        <w:t>korisnici pomoći za uzdržavanje</w:t>
      </w:r>
    </w:p>
    <w:p w14:paraId="0DC4E04A" w14:textId="77777777" w:rsidR="0058022B" w:rsidRPr="004259B4" w:rsidRDefault="0058022B" w:rsidP="00CA6F22">
      <w:pPr>
        <w:pStyle w:val="ListParagraph"/>
        <w:numPr>
          <w:ilvl w:val="0"/>
          <w:numId w:val="18"/>
        </w:numPr>
        <w:ind w:left="1418" w:hanging="425"/>
        <w:jc w:val="both"/>
        <w:rPr>
          <w:iCs/>
          <w:lang w:val="hr-HR"/>
        </w:rPr>
      </w:pPr>
      <w:r w:rsidRPr="004259B4">
        <w:rPr>
          <w:iCs/>
          <w:lang w:val="hr-HR"/>
        </w:rPr>
        <w:t>umirovljenici koji uz mirovinu primaju zaštitni dodatak</w:t>
      </w:r>
    </w:p>
    <w:p w14:paraId="54DD2E7B" w14:textId="77777777" w:rsidR="0058022B" w:rsidRPr="004259B4" w:rsidRDefault="0058022B" w:rsidP="00CA6F22">
      <w:pPr>
        <w:pStyle w:val="ListParagraph"/>
        <w:numPr>
          <w:ilvl w:val="0"/>
          <w:numId w:val="18"/>
        </w:numPr>
        <w:ind w:left="1418" w:hanging="425"/>
        <w:jc w:val="both"/>
        <w:rPr>
          <w:iCs/>
          <w:lang w:val="hr-HR"/>
        </w:rPr>
      </w:pPr>
      <w:r w:rsidRPr="004259B4">
        <w:rPr>
          <w:iCs/>
          <w:lang w:val="hr-HR"/>
        </w:rPr>
        <w:t>nezaposleni koji se nalaze u evidenciji Zavoda za zapošljavanje neprekidno duže od šest mjeseci, koji nema nužno potrebnih prihoda za život</w:t>
      </w:r>
    </w:p>
    <w:p w14:paraId="444CF5FB" w14:textId="77777777" w:rsidR="0058022B" w:rsidRPr="004259B4" w:rsidRDefault="0058022B" w:rsidP="00CA6F22">
      <w:pPr>
        <w:pStyle w:val="ListParagraph"/>
        <w:numPr>
          <w:ilvl w:val="0"/>
          <w:numId w:val="18"/>
        </w:numPr>
        <w:ind w:left="1418" w:hanging="425"/>
        <w:jc w:val="both"/>
        <w:rPr>
          <w:iCs/>
          <w:lang w:val="hr-HR"/>
        </w:rPr>
      </w:pPr>
      <w:r w:rsidRPr="004259B4">
        <w:rPr>
          <w:iCs/>
          <w:lang w:val="hr-HR"/>
        </w:rPr>
        <w:t>obveznik stariji od 70 godina koji nema nužno potrebnih prihoda za život.</w:t>
      </w:r>
    </w:p>
    <w:p w14:paraId="57857B18" w14:textId="1C01D71D" w:rsidR="0058022B" w:rsidRPr="004259B4" w:rsidRDefault="00A152F7" w:rsidP="00CA6F22">
      <w:pPr>
        <w:ind w:firstLine="709"/>
        <w:jc w:val="both"/>
        <w:rPr>
          <w:iCs/>
          <w:lang w:val="hr-HR"/>
        </w:rPr>
      </w:pPr>
      <w:r w:rsidRPr="004259B4">
        <w:rPr>
          <w:iCs/>
          <w:lang w:val="hr-HR"/>
        </w:rPr>
        <w:t>Rješenje o o</w:t>
      </w:r>
      <w:r w:rsidR="0058022B" w:rsidRPr="004259B4">
        <w:rPr>
          <w:iCs/>
          <w:lang w:val="hr-HR"/>
        </w:rPr>
        <w:t>slobađanje od plaćanja komu</w:t>
      </w:r>
      <w:r w:rsidR="00FC6537" w:rsidRPr="004259B4">
        <w:rPr>
          <w:iCs/>
          <w:lang w:val="hr-HR"/>
        </w:rPr>
        <w:t>nalne naknade donosi se za</w:t>
      </w:r>
      <w:r w:rsidR="0058022B" w:rsidRPr="004259B4">
        <w:rPr>
          <w:iCs/>
          <w:lang w:val="hr-HR"/>
        </w:rPr>
        <w:t xml:space="preserve"> kalendarsku godinu</w:t>
      </w:r>
      <w:r w:rsidR="00FC6537" w:rsidRPr="004259B4">
        <w:rPr>
          <w:iCs/>
          <w:lang w:val="hr-HR"/>
        </w:rPr>
        <w:t xml:space="preserve"> u kojoj je zahtjev podnesen</w:t>
      </w:r>
      <w:r w:rsidR="0058022B" w:rsidRPr="004259B4">
        <w:rPr>
          <w:iCs/>
          <w:lang w:val="hr-HR"/>
        </w:rPr>
        <w:t xml:space="preserve">, osim za </w:t>
      </w:r>
      <w:r w:rsidR="00FA3A6B" w:rsidRPr="004259B4">
        <w:t>osobe iz stavka 3. točki 1. i 2. ovog članka</w:t>
      </w:r>
      <w:r w:rsidR="00FA3A6B" w:rsidRPr="004259B4">
        <w:rPr>
          <w:iCs/>
          <w:lang w:val="hr-HR"/>
        </w:rPr>
        <w:t xml:space="preserve"> </w:t>
      </w:r>
      <w:r w:rsidR="0058022B" w:rsidRPr="004259B4">
        <w:rPr>
          <w:iCs/>
          <w:lang w:val="hr-HR"/>
        </w:rPr>
        <w:t>za koje se donosi rješenje o trajnom osloba</w:t>
      </w:r>
      <w:r w:rsidRPr="004259B4">
        <w:rPr>
          <w:iCs/>
          <w:lang w:val="hr-HR"/>
        </w:rPr>
        <w:t>đanju plaćanja</w:t>
      </w:r>
      <w:r w:rsidR="0058022B" w:rsidRPr="004259B4">
        <w:rPr>
          <w:iCs/>
          <w:lang w:val="hr-HR"/>
        </w:rPr>
        <w:t>.</w:t>
      </w:r>
    </w:p>
    <w:p w14:paraId="36D02A8D" w14:textId="77777777" w:rsidR="0098334C" w:rsidRPr="004259B4" w:rsidRDefault="0098334C" w:rsidP="002204CC">
      <w:pPr>
        <w:ind w:firstLine="709"/>
        <w:jc w:val="both"/>
        <w:rPr>
          <w:iCs/>
          <w:lang w:val="hr-HR"/>
        </w:rPr>
      </w:pPr>
      <w:r w:rsidRPr="004259B4">
        <w:rPr>
          <w:iCs/>
          <w:lang w:val="hr-HR"/>
        </w:rPr>
        <w:t>Obveznici plaćanja komunalne naknade za stambeni i garažni prostor u naseljima</w:t>
      </w:r>
      <w:r w:rsidR="002204CC" w:rsidRPr="004259B4">
        <w:rPr>
          <w:iCs/>
          <w:lang w:val="hr-HR"/>
        </w:rPr>
        <w:t xml:space="preserve"> </w:t>
      </w:r>
      <w:r w:rsidR="00771B09" w:rsidRPr="004259B4">
        <w:t xml:space="preserve">Bratelji, Brezovac Žumberački, Cerovica, Dane, Golubići, Kravljak, Osredek Žumberački, Osunja, Selce Žumberačko, Sječevac, Šimraki, Tisovac Žumberački </w:t>
      </w:r>
      <w:r w:rsidRPr="004259B4">
        <w:t>oslobađaju se plaćanja komunalne naknade</w:t>
      </w:r>
      <w:r w:rsidRPr="004259B4">
        <w:rPr>
          <w:iCs/>
          <w:lang w:val="hr-HR"/>
        </w:rPr>
        <w:t xml:space="preserve"> zbog </w:t>
      </w:r>
      <w:r w:rsidR="00246FB5" w:rsidRPr="004259B4">
        <w:rPr>
          <w:iCs/>
          <w:lang w:val="hr-HR"/>
        </w:rPr>
        <w:t>slabe naseljenosti i gospodarske razvijenosti.</w:t>
      </w:r>
    </w:p>
    <w:p w14:paraId="6AFD2D1A" w14:textId="77777777" w:rsidR="0058022B" w:rsidRPr="004259B4" w:rsidRDefault="0058022B" w:rsidP="00CA6F22">
      <w:pPr>
        <w:ind w:firstLine="709"/>
        <w:jc w:val="both"/>
        <w:rPr>
          <w:iCs/>
          <w:lang w:val="hr-HR"/>
        </w:rPr>
      </w:pPr>
      <w:r w:rsidRPr="004259B4">
        <w:rPr>
          <w:iCs/>
          <w:lang w:val="hr-HR"/>
        </w:rPr>
        <w:t>Proračunom Grada Samobora za narednu kalendarsku godinu osigurat će se novčana sredstva u ukupnom iznosu potpunog ili djelomičnog oslobađanja od plaćanja komunalne naknade tokom tekuće kalendarske godine, za namirenje programa održavanja komunalnih djelatnosti u narednoj kalendarskoj godini.</w:t>
      </w:r>
    </w:p>
    <w:p w14:paraId="0DB81C09" w14:textId="77777777" w:rsidR="0058022B" w:rsidRPr="004259B4" w:rsidRDefault="0058022B">
      <w:pPr>
        <w:jc w:val="both"/>
        <w:rPr>
          <w:iCs/>
          <w:lang w:val="hr-HR"/>
        </w:rPr>
      </w:pPr>
    </w:p>
    <w:p w14:paraId="6B1833CC" w14:textId="77777777" w:rsidR="0058022B" w:rsidRPr="004259B4" w:rsidRDefault="0058022B">
      <w:pPr>
        <w:jc w:val="center"/>
        <w:rPr>
          <w:b/>
          <w:bCs/>
          <w:iCs/>
          <w:lang w:val="hr-HR"/>
        </w:rPr>
      </w:pPr>
      <w:r w:rsidRPr="004259B4">
        <w:rPr>
          <w:b/>
          <w:bCs/>
          <w:iCs/>
          <w:lang w:val="hr-HR"/>
        </w:rPr>
        <w:t>Članak</w:t>
      </w:r>
      <w:r w:rsidR="008E66A5" w:rsidRPr="004259B4">
        <w:rPr>
          <w:b/>
          <w:bCs/>
          <w:iCs/>
          <w:lang w:val="hr-HR"/>
        </w:rPr>
        <w:t xml:space="preserve"> 17</w:t>
      </w:r>
      <w:r w:rsidRPr="004259B4">
        <w:rPr>
          <w:b/>
          <w:bCs/>
          <w:iCs/>
          <w:lang w:val="hr-HR"/>
        </w:rPr>
        <w:t>.</w:t>
      </w:r>
    </w:p>
    <w:p w14:paraId="1A881199" w14:textId="77777777" w:rsidR="0058022B" w:rsidRPr="004259B4" w:rsidRDefault="0058022B" w:rsidP="00CA6F22">
      <w:pPr>
        <w:ind w:firstLine="709"/>
        <w:jc w:val="both"/>
        <w:rPr>
          <w:iCs/>
          <w:lang w:val="hr-HR"/>
        </w:rPr>
      </w:pPr>
      <w:r w:rsidRPr="004259B4">
        <w:rPr>
          <w:iCs/>
          <w:lang w:val="hr-HR"/>
        </w:rPr>
        <w:t>Pravne i fizičke osobe koje počinju obavljati djelatnost oslobađaju se od plaćanja komunalne naknade i to:</w:t>
      </w:r>
    </w:p>
    <w:p w14:paraId="7117D10D" w14:textId="77777777" w:rsidR="0058022B" w:rsidRPr="004259B4" w:rsidRDefault="0058022B" w:rsidP="00CA6F22">
      <w:pPr>
        <w:pStyle w:val="ListParagraph"/>
        <w:numPr>
          <w:ilvl w:val="0"/>
          <w:numId w:val="20"/>
        </w:numPr>
        <w:ind w:left="1418" w:hanging="425"/>
        <w:jc w:val="both"/>
        <w:rPr>
          <w:iCs/>
          <w:lang w:val="hr-HR"/>
        </w:rPr>
      </w:pPr>
      <w:r w:rsidRPr="004259B4">
        <w:rPr>
          <w:iCs/>
          <w:lang w:val="hr-HR"/>
        </w:rPr>
        <w:t>u prvoj godini rada 100% iznosa komunalne naknade</w:t>
      </w:r>
    </w:p>
    <w:p w14:paraId="39BBE1F3" w14:textId="77777777" w:rsidR="0058022B" w:rsidRPr="004259B4" w:rsidRDefault="0058022B" w:rsidP="00CA6F22">
      <w:pPr>
        <w:pStyle w:val="ListParagraph"/>
        <w:numPr>
          <w:ilvl w:val="0"/>
          <w:numId w:val="20"/>
        </w:numPr>
        <w:ind w:left="1418" w:hanging="425"/>
        <w:jc w:val="both"/>
        <w:rPr>
          <w:iCs/>
          <w:lang w:val="hr-HR"/>
        </w:rPr>
      </w:pPr>
      <w:r w:rsidRPr="004259B4">
        <w:rPr>
          <w:iCs/>
          <w:lang w:val="hr-HR"/>
        </w:rPr>
        <w:t>u drugoj godini rada 50% iznosa komunalne naknade</w:t>
      </w:r>
    </w:p>
    <w:p w14:paraId="77D7F56D" w14:textId="77777777" w:rsidR="0058022B" w:rsidRPr="004259B4" w:rsidRDefault="0058022B" w:rsidP="00CA6F22">
      <w:pPr>
        <w:pStyle w:val="ListParagraph"/>
        <w:numPr>
          <w:ilvl w:val="0"/>
          <w:numId w:val="20"/>
        </w:numPr>
        <w:ind w:left="1418" w:hanging="425"/>
        <w:jc w:val="both"/>
        <w:rPr>
          <w:iCs/>
          <w:lang w:val="hr-HR"/>
        </w:rPr>
      </w:pPr>
      <w:r w:rsidRPr="004259B4">
        <w:rPr>
          <w:iCs/>
          <w:lang w:val="hr-HR"/>
        </w:rPr>
        <w:t>u trećoj godini rada 25% iznosa komunalne naknade</w:t>
      </w:r>
    </w:p>
    <w:p w14:paraId="32EF41BF" w14:textId="77777777" w:rsidR="0058022B" w:rsidRPr="004259B4" w:rsidRDefault="0058022B" w:rsidP="00CA6F22">
      <w:pPr>
        <w:ind w:firstLine="709"/>
        <w:jc w:val="both"/>
        <w:rPr>
          <w:iCs/>
          <w:lang w:val="hr-HR"/>
        </w:rPr>
      </w:pPr>
      <w:r w:rsidRPr="004259B4">
        <w:rPr>
          <w:iCs/>
          <w:lang w:val="hr-HR"/>
        </w:rPr>
        <w:t xml:space="preserve">Pod pravnim i fizičkim osobama koje počinju obavljati djelatnost razumijevaju se pravne i fizičke osobe koje u posljednjih 5 godina nisu obavljale istu ili sličnu djelatnost na području </w:t>
      </w:r>
      <w:r w:rsidR="002204CC" w:rsidRPr="004259B4">
        <w:rPr>
          <w:iCs/>
          <w:lang w:val="hr-HR"/>
        </w:rPr>
        <w:t>g</w:t>
      </w:r>
      <w:r w:rsidRPr="004259B4">
        <w:rPr>
          <w:iCs/>
          <w:lang w:val="hr-HR"/>
        </w:rPr>
        <w:t>rada Samobora i koje djelatnost obavljaju u poslovnim prostorijama odnosno na lokacijama na kojima se u posljednih 5 godina nije obavljala ista ili slična djelatnost, te pravne ili fizičke osobe koje već posluju na području Grada Samobora, ako otvaraju nove poslovne prostorije</w:t>
      </w:r>
      <w:r w:rsidR="006C2879" w:rsidRPr="004259B4">
        <w:rPr>
          <w:iCs/>
          <w:lang w:val="hr-HR"/>
        </w:rPr>
        <w:t xml:space="preserve"> (u kojima još nije obavljana djelatnost)</w:t>
      </w:r>
      <w:r w:rsidRPr="004259B4">
        <w:rPr>
          <w:iCs/>
          <w:lang w:val="hr-HR"/>
        </w:rPr>
        <w:t xml:space="preserve"> na novim lokacijama te povećavaju ukupan broj zaposlenih uz uvjet da i dalje posluju na postojećoj i novoj lokaciji.</w:t>
      </w:r>
    </w:p>
    <w:p w14:paraId="1FBA0CA3" w14:textId="3C040E3C" w:rsidR="005758ED" w:rsidRPr="004259B4" w:rsidRDefault="005758ED" w:rsidP="00CA6F22">
      <w:pPr>
        <w:ind w:firstLine="709"/>
        <w:jc w:val="both"/>
        <w:rPr>
          <w:iCs/>
          <w:lang w:val="hr-HR"/>
        </w:rPr>
      </w:pPr>
      <w:r w:rsidRPr="004259B4">
        <w:rPr>
          <w:lang w:val="hr-HR"/>
        </w:rPr>
        <w:t>Pravo na oslobađanje od plaćanja komunalne naknade prema uvjetima iz stav</w:t>
      </w:r>
      <w:r w:rsidR="00E31741" w:rsidRPr="004259B4">
        <w:rPr>
          <w:lang w:val="hr-HR"/>
        </w:rPr>
        <w:t>a</w:t>
      </w:r>
      <w:r w:rsidRPr="004259B4">
        <w:rPr>
          <w:lang w:val="hr-HR"/>
        </w:rPr>
        <w:t>ka 1. i 2. ovog članka nemaju veliki trgovački centri, te zakupci ili vlasnici poslovnog prostora koji obavljaju trgovačku djelatnost u sklopu velikog trgovačkog centra (pojam "veliki trgovački centri" odnosi se na trgovačke centre koji imaju više od 500 m</w:t>
      </w:r>
      <w:r w:rsidRPr="004259B4">
        <w:rPr>
          <w:vertAlign w:val="superscript"/>
          <w:lang w:val="hr-HR"/>
        </w:rPr>
        <w:t>2</w:t>
      </w:r>
      <w:r w:rsidRPr="004259B4">
        <w:rPr>
          <w:lang w:val="hr-HR"/>
        </w:rPr>
        <w:t xml:space="preserve"> netto površine).</w:t>
      </w:r>
    </w:p>
    <w:p w14:paraId="3F83914C" w14:textId="77777777" w:rsidR="0058022B" w:rsidRPr="004259B4" w:rsidRDefault="0058022B">
      <w:pPr>
        <w:jc w:val="both"/>
        <w:rPr>
          <w:iCs/>
          <w:lang w:val="hr-HR"/>
        </w:rPr>
      </w:pPr>
    </w:p>
    <w:p w14:paraId="3569E069" w14:textId="77777777" w:rsidR="0058022B" w:rsidRPr="004259B4" w:rsidRDefault="008E66A5">
      <w:pPr>
        <w:jc w:val="center"/>
        <w:rPr>
          <w:b/>
          <w:bCs/>
          <w:iCs/>
          <w:lang w:val="hr-HR"/>
        </w:rPr>
      </w:pPr>
      <w:r w:rsidRPr="004259B4">
        <w:rPr>
          <w:b/>
          <w:bCs/>
          <w:iCs/>
          <w:lang w:val="hr-HR"/>
        </w:rPr>
        <w:t>Članak 18</w:t>
      </w:r>
      <w:r w:rsidR="0058022B" w:rsidRPr="004259B4">
        <w:rPr>
          <w:b/>
          <w:bCs/>
          <w:iCs/>
          <w:lang w:val="hr-HR"/>
        </w:rPr>
        <w:t>.</w:t>
      </w:r>
    </w:p>
    <w:p w14:paraId="39D2E0C8" w14:textId="77777777" w:rsidR="00B22AEC" w:rsidRPr="004259B4" w:rsidRDefault="00B22AEC" w:rsidP="009B3BFB">
      <w:pPr>
        <w:ind w:firstLine="709"/>
        <w:jc w:val="both"/>
        <w:rPr>
          <w:iCs/>
          <w:lang w:val="hr-HR"/>
        </w:rPr>
      </w:pPr>
      <w:r w:rsidRPr="004259B4">
        <w:rPr>
          <w:iCs/>
          <w:lang w:val="hr-HR"/>
        </w:rPr>
        <w:t>Ukoliko obveznici svoju obvezu dobrovoljno i u predviđenom roku ne podmire ista će se naplatiti prisilnim putem – poduzimanjem određenih mjera u okviru ovršnog postupka.</w:t>
      </w:r>
    </w:p>
    <w:p w14:paraId="6A061AD1" w14:textId="77777777" w:rsidR="00A605AF" w:rsidRPr="004259B4" w:rsidRDefault="00A605AF">
      <w:pPr>
        <w:rPr>
          <w:b/>
          <w:bCs/>
          <w:iCs/>
          <w:lang w:val="hr-HR"/>
        </w:rPr>
      </w:pPr>
    </w:p>
    <w:p w14:paraId="073FACAE" w14:textId="77777777" w:rsidR="00A354BE" w:rsidRPr="004259B4" w:rsidRDefault="00A354BE">
      <w:pPr>
        <w:rPr>
          <w:b/>
          <w:bCs/>
          <w:iCs/>
          <w:lang w:val="hr-HR"/>
        </w:rPr>
      </w:pPr>
    </w:p>
    <w:p w14:paraId="30D04024" w14:textId="5134D1B7" w:rsidR="0058022B" w:rsidRPr="004259B4" w:rsidRDefault="0058022B" w:rsidP="00060D49">
      <w:pPr>
        <w:pStyle w:val="Heading9"/>
        <w:numPr>
          <w:ilvl w:val="0"/>
          <w:numId w:val="24"/>
        </w:numPr>
        <w:jc w:val="left"/>
        <w:rPr>
          <w:sz w:val="24"/>
          <w:lang w:val="hr-HR"/>
        </w:rPr>
      </w:pPr>
      <w:r w:rsidRPr="004259B4">
        <w:rPr>
          <w:sz w:val="24"/>
          <w:lang w:val="hr-HR"/>
        </w:rPr>
        <w:t>PRIJELAZNE I ZAVRŠNE ODREDBE</w:t>
      </w:r>
    </w:p>
    <w:p w14:paraId="40397002" w14:textId="77777777" w:rsidR="0058022B" w:rsidRPr="004259B4" w:rsidRDefault="0058022B">
      <w:pPr>
        <w:jc w:val="both"/>
        <w:rPr>
          <w:iCs/>
          <w:lang w:val="hr-HR"/>
        </w:rPr>
      </w:pPr>
    </w:p>
    <w:p w14:paraId="768AC8C7" w14:textId="77777777" w:rsidR="0058022B" w:rsidRPr="004259B4" w:rsidRDefault="002B5B4B">
      <w:pPr>
        <w:jc w:val="center"/>
        <w:rPr>
          <w:b/>
          <w:bCs/>
          <w:iCs/>
          <w:lang w:val="hr-HR"/>
        </w:rPr>
      </w:pPr>
      <w:r w:rsidRPr="004259B4">
        <w:rPr>
          <w:b/>
          <w:bCs/>
          <w:iCs/>
          <w:lang w:val="hr-HR"/>
        </w:rPr>
        <w:t>Članak 19</w:t>
      </w:r>
      <w:r w:rsidR="0058022B" w:rsidRPr="004259B4">
        <w:rPr>
          <w:b/>
          <w:bCs/>
          <w:iCs/>
          <w:lang w:val="hr-HR"/>
        </w:rPr>
        <w:t>.</w:t>
      </w:r>
    </w:p>
    <w:p w14:paraId="45456225" w14:textId="62E3B060" w:rsidR="0058022B" w:rsidRPr="004259B4" w:rsidRDefault="0058022B" w:rsidP="00CA6F22">
      <w:pPr>
        <w:ind w:firstLine="709"/>
        <w:jc w:val="both"/>
        <w:rPr>
          <w:iCs/>
          <w:lang w:val="hr-HR"/>
        </w:rPr>
      </w:pPr>
      <w:r w:rsidRPr="004259B4">
        <w:rPr>
          <w:iCs/>
          <w:lang w:val="hr-HR"/>
        </w:rPr>
        <w:t xml:space="preserve">Danom stupanja na snagu ove Odluke prestaje važiti Odluka o komunalnoj naknadi (Službene </w:t>
      </w:r>
      <w:r w:rsidR="00E31741" w:rsidRPr="004259B4">
        <w:rPr>
          <w:iCs/>
          <w:lang w:val="hr-HR"/>
        </w:rPr>
        <w:t xml:space="preserve">vijesti Grada Samobora br. 6/01., 3/03., </w:t>
      </w:r>
      <w:r w:rsidR="002D6F79" w:rsidRPr="004259B4">
        <w:rPr>
          <w:iCs/>
          <w:lang w:val="hr-HR"/>
        </w:rPr>
        <w:t xml:space="preserve">7/09. i </w:t>
      </w:r>
      <w:r w:rsidR="00AC041F" w:rsidRPr="004259B4">
        <w:rPr>
          <w:iCs/>
          <w:lang w:val="hr-HR"/>
        </w:rPr>
        <w:t>10/13.</w:t>
      </w:r>
      <w:r w:rsidRPr="004259B4">
        <w:rPr>
          <w:iCs/>
          <w:lang w:val="hr-HR"/>
        </w:rPr>
        <w:t>).</w:t>
      </w:r>
    </w:p>
    <w:p w14:paraId="11D2F5FE" w14:textId="062FE3F5" w:rsidR="0009097B" w:rsidRPr="004259B4" w:rsidRDefault="001E527D" w:rsidP="00CA6F22">
      <w:pPr>
        <w:ind w:firstLine="709"/>
        <w:jc w:val="both"/>
        <w:rPr>
          <w:iCs/>
          <w:lang w:val="hr-HR"/>
        </w:rPr>
      </w:pPr>
      <w:r w:rsidRPr="004259B4">
        <w:rPr>
          <w:iCs/>
          <w:lang w:val="hr-HR"/>
        </w:rPr>
        <w:t>Stupanjem na snagu</w:t>
      </w:r>
      <w:r w:rsidR="0009097B" w:rsidRPr="004259B4">
        <w:rPr>
          <w:iCs/>
          <w:lang w:val="hr-HR"/>
        </w:rPr>
        <w:t xml:space="preserve"> ove Odluke </w:t>
      </w:r>
      <w:r w:rsidR="00FA3A6B" w:rsidRPr="004259B4">
        <w:rPr>
          <w:iCs/>
          <w:lang w:val="hr-HR"/>
        </w:rPr>
        <w:t xml:space="preserve">ne </w:t>
      </w:r>
      <w:r w:rsidR="0009097B" w:rsidRPr="004259B4">
        <w:rPr>
          <w:iCs/>
          <w:lang w:val="hr-HR"/>
        </w:rPr>
        <w:t>prestaju važiti</w:t>
      </w:r>
      <w:r w:rsidR="00FA3A6B" w:rsidRPr="004259B4">
        <w:rPr>
          <w:iCs/>
          <w:lang w:val="hr-HR"/>
        </w:rPr>
        <w:t xml:space="preserve"> </w:t>
      </w:r>
      <w:r w:rsidR="0009097B" w:rsidRPr="004259B4">
        <w:rPr>
          <w:iCs/>
          <w:lang w:val="hr-HR"/>
        </w:rPr>
        <w:t>rješenja o trajnom oslobađanju</w:t>
      </w:r>
      <w:r w:rsidR="00FA3A6B" w:rsidRPr="004259B4">
        <w:rPr>
          <w:iCs/>
          <w:lang w:val="hr-HR"/>
        </w:rPr>
        <w:t xml:space="preserve"> (izdana za obveznike plaćanja komunalne naknade sukladno članku 16</w:t>
      </w:r>
      <w:r w:rsidR="00DC16D1">
        <w:rPr>
          <w:iCs/>
          <w:lang w:val="hr-HR"/>
        </w:rPr>
        <w:t>.</w:t>
      </w:r>
      <w:r w:rsidR="00FA3A6B" w:rsidRPr="004259B4">
        <w:rPr>
          <w:iCs/>
          <w:lang w:val="hr-HR"/>
        </w:rPr>
        <w:t xml:space="preserve"> </w:t>
      </w:r>
      <w:r w:rsidR="00FA3A6B" w:rsidRPr="004259B4">
        <w:t>stavku 3. točki 1. i 2)</w:t>
      </w:r>
      <w:r w:rsidR="00E73CC5" w:rsidRPr="004259B4">
        <w:t>.</w:t>
      </w:r>
      <w:r w:rsidR="00FA3A6B" w:rsidRPr="004259B4">
        <w:rPr>
          <w:iCs/>
          <w:lang w:val="hr-HR"/>
        </w:rPr>
        <w:t xml:space="preserve"> </w:t>
      </w:r>
    </w:p>
    <w:p w14:paraId="6533CEDD" w14:textId="77777777" w:rsidR="0058022B" w:rsidRPr="004259B4" w:rsidRDefault="0058022B">
      <w:pPr>
        <w:jc w:val="both"/>
        <w:rPr>
          <w:iCs/>
          <w:lang w:val="hr-HR"/>
        </w:rPr>
      </w:pPr>
    </w:p>
    <w:p w14:paraId="0F93D9F7" w14:textId="77777777" w:rsidR="0058022B" w:rsidRPr="004259B4" w:rsidRDefault="008E66A5">
      <w:pPr>
        <w:jc w:val="center"/>
        <w:rPr>
          <w:b/>
          <w:bCs/>
          <w:iCs/>
          <w:lang w:val="hr-HR"/>
        </w:rPr>
      </w:pPr>
      <w:r w:rsidRPr="004259B4">
        <w:rPr>
          <w:b/>
          <w:bCs/>
          <w:iCs/>
          <w:lang w:val="hr-HR"/>
        </w:rPr>
        <w:t>Članak 2</w:t>
      </w:r>
      <w:r w:rsidR="002B5B4B" w:rsidRPr="004259B4">
        <w:rPr>
          <w:b/>
          <w:bCs/>
          <w:iCs/>
          <w:lang w:val="hr-HR"/>
        </w:rPr>
        <w:t>0</w:t>
      </w:r>
      <w:r w:rsidR="0058022B" w:rsidRPr="004259B4">
        <w:rPr>
          <w:b/>
          <w:bCs/>
          <w:iCs/>
          <w:lang w:val="hr-HR"/>
        </w:rPr>
        <w:t>.</w:t>
      </w:r>
    </w:p>
    <w:p w14:paraId="361D9EDD" w14:textId="052893E9" w:rsidR="0058022B" w:rsidRPr="004259B4" w:rsidRDefault="0058022B" w:rsidP="00CA6F22">
      <w:pPr>
        <w:ind w:firstLine="709"/>
        <w:jc w:val="both"/>
        <w:rPr>
          <w:iCs/>
          <w:lang w:val="hr-HR"/>
        </w:rPr>
      </w:pPr>
      <w:r w:rsidRPr="004259B4">
        <w:rPr>
          <w:iCs/>
          <w:lang w:val="hr-HR"/>
        </w:rPr>
        <w:t xml:space="preserve">Ova odluka </w:t>
      </w:r>
      <w:r w:rsidR="00691A55" w:rsidRPr="004259B4">
        <w:rPr>
          <w:iCs/>
          <w:lang w:val="hr-HR"/>
        </w:rPr>
        <w:t>objaviti</w:t>
      </w:r>
      <w:r w:rsidRPr="004259B4">
        <w:rPr>
          <w:iCs/>
          <w:lang w:val="hr-HR"/>
        </w:rPr>
        <w:t xml:space="preserve"> </w:t>
      </w:r>
      <w:r w:rsidR="001E527D" w:rsidRPr="004259B4">
        <w:rPr>
          <w:iCs/>
          <w:lang w:val="hr-HR"/>
        </w:rPr>
        <w:t xml:space="preserve">će se </w:t>
      </w:r>
      <w:r w:rsidRPr="004259B4">
        <w:rPr>
          <w:iCs/>
          <w:lang w:val="hr-HR"/>
        </w:rPr>
        <w:t xml:space="preserve">u Službenim vijestima Grada Samobora, a </w:t>
      </w:r>
      <w:r w:rsidR="00691A55" w:rsidRPr="004259B4">
        <w:rPr>
          <w:iCs/>
          <w:lang w:val="hr-HR"/>
        </w:rPr>
        <w:t>stupa na snagu</w:t>
      </w:r>
      <w:r w:rsidR="008E66A5" w:rsidRPr="004259B4">
        <w:rPr>
          <w:iCs/>
          <w:lang w:val="hr-HR"/>
        </w:rPr>
        <w:t xml:space="preserve"> </w:t>
      </w:r>
      <w:r w:rsidR="002204CC" w:rsidRPr="004259B4">
        <w:rPr>
          <w:iCs/>
          <w:lang w:val="hr-HR"/>
        </w:rPr>
        <w:t>0</w:t>
      </w:r>
      <w:r w:rsidR="00E31741" w:rsidRPr="004259B4">
        <w:rPr>
          <w:iCs/>
          <w:lang w:val="hr-HR"/>
        </w:rPr>
        <w:t>1.01.</w:t>
      </w:r>
      <w:r w:rsidR="008E66A5" w:rsidRPr="004259B4">
        <w:rPr>
          <w:iCs/>
          <w:lang w:val="hr-HR"/>
        </w:rPr>
        <w:t>2018</w:t>
      </w:r>
      <w:r w:rsidRPr="004259B4">
        <w:rPr>
          <w:iCs/>
          <w:lang w:val="hr-HR"/>
        </w:rPr>
        <w:t>. godine.</w:t>
      </w:r>
    </w:p>
    <w:p w14:paraId="29645EBA" w14:textId="77777777" w:rsidR="0058022B" w:rsidRPr="004259B4" w:rsidRDefault="0058022B">
      <w:pPr>
        <w:jc w:val="both"/>
        <w:rPr>
          <w:iCs/>
          <w:lang w:val="hr-HR"/>
        </w:rPr>
      </w:pPr>
    </w:p>
    <w:p w14:paraId="0A92C244" w14:textId="77777777" w:rsidR="002B5B4B" w:rsidRPr="004259B4" w:rsidRDefault="002B5B4B">
      <w:pPr>
        <w:jc w:val="both"/>
        <w:rPr>
          <w:iCs/>
          <w:lang w:val="hr-HR"/>
        </w:rPr>
      </w:pPr>
    </w:p>
    <w:p w14:paraId="3B336320" w14:textId="77777777" w:rsidR="0058022B" w:rsidRPr="004259B4" w:rsidRDefault="002204CC">
      <w:pPr>
        <w:jc w:val="both"/>
        <w:rPr>
          <w:iCs/>
          <w:sz w:val="20"/>
          <w:szCs w:val="20"/>
          <w:lang w:val="hr-HR"/>
        </w:rPr>
      </w:pPr>
      <w:r w:rsidRPr="004259B4">
        <w:rPr>
          <w:iCs/>
          <w:sz w:val="20"/>
          <w:szCs w:val="20"/>
          <w:lang w:val="hr-HR"/>
        </w:rPr>
        <w:t xml:space="preserve">KLASA: </w:t>
      </w:r>
    </w:p>
    <w:p w14:paraId="3D6E93D9" w14:textId="77777777" w:rsidR="0058022B" w:rsidRPr="004259B4" w:rsidRDefault="002204CC">
      <w:pPr>
        <w:jc w:val="both"/>
        <w:rPr>
          <w:iCs/>
          <w:sz w:val="20"/>
          <w:szCs w:val="20"/>
          <w:lang w:val="hr-HR"/>
        </w:rPr>
      </w:pPr>
      <w:r w:rsidRPr="004259B4">
        <w:rPr>
          <w:iCs/>
          <w:sz w:val="20"/>
          <w:szCs w:val="20"/>
          <w:lang w:val="hr-HR"/>
        </w:rPr>
        <w:t xml:space="preserve">URBROJ: </w:t>
      </w:r>
    </w:p>
    <w:p w14:paraId="562AC1C6" w14:textId="77777777" w:rsidR="00CA6F22" w:rsidRPr="004259B4" w:rsidRDefault="00CA6F22" w:rsidP="00C2516C">
      <w:pPr>
        <w:tabs>
          <w:tab w:val="center" w:pos="6946"/>
        </w:tabs>
        <w:jc w:val="both"/>
        <w:rPr>
          <w:iCs/>
          <w:lang w:val="hr-HR"/>
        </w:rPr>
      </w:pPr>
    </w:p>
    <w:p w14:paraId="4158AFE2" w14:textId="77777777" w:rsidR="002B5B4B" w:rsidRPr="004259B4" w:rsidRDefault="002B5B4B" w:rsidP="00C2516C">
      <w:pPr>
        <w:tabs>
          <w:tab w:val="center" w:pos="6946"/>
        </w:tabs>
        <w:jc w:val="both"/>
        <w:rPr>
          <w:iCs/>
          <w:lang w:val="hr-HR"/>
        </w:rPr>
      </w:pPr>
    </w:p>
    <w:p w14:paraId="65D458CE" w14:textId="73BDC4D3" w:rsidR="00E31741" w:rsidRPr="004259B4" w:rsidRDefault="00C2516C" w:rsidP="00E73CC5">
      <w:pPr>
        <w:tabs>
          <w:tab w:val="center" w:pos="7230"/>
        </w:tabs>
        <w:jc w:val="both"/>
        <w:rPr>
          <w:b/>
          <w:iCs/>
          <w:lang w:val="hr-HR"/>
        </w:rPr>
      </w:pPr>
      <w:r w:rsidRPr="004259B4">
        <w:rPr>
          <w:iCs/>
          <w:lang w:val="hr-HR"/>
        </w:rPr>
        <w:tab/>
      </w:r>
      <w:r w:rsidR="0058022B" w:rsidRPr="004259B4">
        <w:rPr>
          <w:b/>
          <w:iCs/>
          <w:lang w:val="hr-HR"/>
        </w:rPr>
        <w:t xml:space="preserve">PREDSJEDNIK </w:t>
      </w:r>
    </w:p>
    <w:p w14:paraId="02603A9C" w14:textId="2334C51D" w:rsidR="0058022B" w:rsidRPr="004259B4" w:rsidRDefault="00E31741" w:rsidP="00E73CC5">
      <w:pPr>
        <w:tabs>
          <w:tab w:val="center" w:pos="7230"/>
        </w:tabs>
        <w:jc w:val="both"/>
        <w:rPr>
          <w:b/>
          <w:iCs/>
          <w:lang w:val="hr-HR"/>
        </w:rPr>
      </w:pPr>
      <w:r w:rsidRPr="004259B4">
        <w:rPr>
          <w:b/>
          <w:iCs/>
          <w:lang w:val="hr-HR"/>
        </w:rPr>
        <w:tab/>
      </w:r>
      <w:r w:rsidR="0058022B" w:rsidRPr="004259B4">
        <w:rPr>
          <w:b/>
          <w:iCs/>
          <w:lang w:val="hr-HR"/>
        </w:rPr>
        <w:t>GRADSKOG VIJEĆA</w:t>
      </w:r>
    </w:p>
    <w:p w14:paraId="40B52D6A" w14:textId="5234B7F4" w:rsidR="0058022B" w:rsidRPr="004259B4" w:rsidRDefault="00C2516C" w:rsidP="00E73CC5">
      <w:pPr>
        <w:tabs>
          <w:tab w:val="center" w:pos="7230"/>
        </w:tabs>
        <w:jc w:val="both"/>
        <w:rPr>
          <w:b/>
          <w:iCs/>
          <w:lang w:val="hr-HR"/>
        </w:rPr>
      </w:pPr>
      <w:r w:rsidRPr="004259B4">
        <w:rPr>
          <w:iCs/>
          <w:lang w:val="hr-HR"/>
        </w:rPr>
        <w:tab/>
      </w:r>
      <w:r w:rsidR="008E66A5" w:rsidRPr="004259B4">
        <w:rPr>
          <w:b/>
          <w:iCs/>
          <w:lang w:val="hr-HR"/>
        </w:rPr>
        <w:t>Miran Šoić</w:t>
      </w:r>
    </w:p>
    <w:sectPr w:rsidR="0058022B" w:rsidRPr="004259B4" w:rsidSect="00A605AF">
      <w:footerReference w:type="default" r:id="rId8"/>
      <w:pgSz w:w="11906" w:h="16838" w:code="9"/>
      <w:pgMar w:top="1134"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C2A84" w16cid:durableId="1DAD9300"/>
  <w16cid:commentId w16cid:paraId="5A6A050A" w16cid:durableId="1DAD9EBE"/>
  <w16cid:commentId w16cid:paraId="3D455540" w16cid:durableId="1DAD9730"/>
  <w16cid:commentId w16cid:paraId="22C2BE1F" w16cid:durableId="1DAD97F5"/>
  <w16cid:commentId w16cid:paraId="697F2ABC" w16cid:durableId="1DAD98F5"/>
  <w16cid:commentId w16cid:paraId="07E03031" w16cid:durableId="1DAD98A4"/>
  <w16cid:commentId w16cid:paraId="6EFD96DD" w16cid:durableId="1DAD98B3"/>
  <w16cid:commentId w16cid:paraId="05829977" w16cid:durableId="1DAD98D7"/>
  <w16cid:commentId w16cid:paraId="49605CAE" w16cid:durableId="1DAD9965"/>
  <w16cid:commentId w16cid:paraId="74DC2B04" w16cid:durableId="1DAD9A42"/>
  <w16cid:commentId w16cid:paraId="64100902" w16cid:durableId="1DAD9B05"/>
  <w16cid:commentId w16cid:paraId="13F160E0" w16cid:durableId="1DAD9B9D"/>
  <w16cid:commentId w16cid:paraId="7C030D69" w16cid:durableId="1DAD9C39"/>
  <w16cid:commentId w16cid:paraId="632596C2" w16cid:durableId="1DAD9C4C"/>
  <w16cid:commentId w16cid:paraId="052DF2BF" w16cid:durableId="1DAD9C7B"/>
  <w16cid:commentId w16cid:paraId="796A573B" w16cid:durableId="1DAD9CE6"/>
  <w16cid:commentId w16cid:paraId="48763143" w16cid:durableId="1DAD9D6C"/>
  <w16cid:commentId w16cid:paraId="6822A823" w16cid:durableId="1DAD9DBA"/>
  <w16cid:commentId w16cid:paraId="30CAF0CA" w16cid:durableId="1DAD9DD2"/>
  <w16cid:commentId w16cid:paraId="1A9EEEB7" w16cid:durableId="1DAD9E2A"/>
  <w16cid:commentId w16cid:paraId="74335232" w16cid:durableId="1DAD9F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77F06" w14:textId="77777777" w:rsidR="009D5930" w:rsidRDefault="009D5930" w:rsidP="002A0EE2">
      <w:r>
        <w:separator/>
      </w:r>
    </w:p>
  </w:endnote>
  <w:endnote w:type="continuationSeparator" w:id="0">
    <w:p w14:paraId="1AA89BA2" w14:textId="77777777" w:rsidR="009D5930" w:rsidRDefault="009D5930" w:rsidP="002A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787532"/>
      <w:docPartObj>
        <w:docPartGallery w:val="Page Numbers (Bottom of Page)"/>
        <w:docPartUnique/>
      </w:docPartObj>
    </w:sdtPr>
    <w:sdtEndPr/>
    <w:sdtContent>
      <w:p w14:paraId="752A34A1" w14:textId="6EE4B6CF" w:rsidR="00ED0144" w:rsidRDefault="00ED0144">
        <w:pPr>
          <w:pStyle w:val="Footer"/>
          <w:jc w:val="center"/>
        </w:pPr>
        <w:r>
          <w:fldChar w:fldCharType="begin"/>
        </w:r>
        <w:r>
          <w:instrText>PAGE   \* MERGEFORMAT</w:instrText>
        </w:r>
        <w:r>
          <w:fldChar w:fldCharType="separate"/>
        </w:r>
        <w:r w:rsidR="006435A7" w:rsidRPr="006435A7">
          <w:rPr>
            <w:noProof/>
            <w:lang w:val="hr-HR"/>
          </w:rPr>
          <w:t>1</w:t>
        </w:r>
        <w:r>
          <w:fldChar w:fldCharType="end"/>
        </w:r>
      </w:p>
    </w:sdtContent>
  </w:sdt>
  <w:p w14:paraId="6F320DE7" w14:textId="77777777" w:rsidR="002A0EE2" w:rsidRPr="002A0EE2" w:rsidRDefault="002A0EE2">
    <w:pPr>
      <w:pStyle w:val="Footer"/>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EB2CA" w14:textId="77777777" w:rsidR="009D5930" w:rsidRDefault="009D5930" w:rsidP="002A0EE2">
      <w:r>
        <w:separator/>
      </w:r>
    </w:p>
  </w:footnote>
  <w:footnote w:type="continuationSeparator" w:id="0">
    <w:p w14:paraId="3F045A32" w14:textId="77777777" w:rsidR="009D5930" w:rsidRDefault="009D5930" w:rsidP="002A0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B34"/>
    <w:multiLevelType w:val="hybridMultilevel"/>
    <w:tmpl w:val="52F86E66"/>
    <w:lvl w:ilvl="0" w:tplc="000C2246">
      <w:start w:val="6"/>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1F779F"/>
    <w:multiLevelType w:val="hybridMultilevel"/>
    <w:tmpl w:val="AB4C283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270E04"/>
    <w:multiLevelType w:val="hybridMultilevel"/>
    <w:tmpl w:val="F2DA58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40A546E"/>
    <w:multiLevelType w:val="hybridMultilevel"/>
    <w:tmpl w:val="6BA654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8381DB2"/>
    <w:multiLevelType w:val="hybridMultilevel"/>
    <w:tmpl w:val="DFAAFB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A733D6D"/>
    <w:multiLevelType w:val="hybridMultilevel"/>
    <w:tmpl w:val="011CC9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07A7112"/>
    <w:multiLevelType w:val="hybridMultilevel"/>
    <w:tmpl w:val="415AAD2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971024"/>
    <w:multiLevelType w:val="hybridMultilevel"/>
    <w:tmpl w:val="252A10E4"/>
    <w:lvl w:ilvl="0" w:tplc="EF32E266">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34893A56"/>
    <w:multiLevelType w:val="hybridMultilevel"/>
    <w:tmpl w:val="4474AC88"/>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Symbol" w:eastAsia="Times New Roman" w:hAnsi="Symbol" w:cs="Times New Roman" w:hint="default"/>
      </w:rPr>
    </w:lvl>
    <w:lvl w:ilvl="2" w:tplc="FFFFFFFF">
      <w:start w:val="1"/>
      <w:numFmt w:val="bullet"/>
      <w:lvlText w:val=""/>
      <w:lvlJc w:val="left"/>
      <w:pPr>
        <w:tabs>
          <w:tab w:val="num" w:pos="2160"/>
        </w:tabs>
        <w:ind w:left="2160" w:hanging="360"/>
      </w:pPr>
      <w:rPr>
        <w:rFonts w:ascii="Wingdings" w:hAnsi="Wingdings" w:hint="default"/>
        <w:sz w:val="16"/>
      </w:rPr>
    </w:lvl>
    <w:lvl w:ilvl="3" w:tplc="8C202AFE">
      <w:start w:val="6"/>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9D79B0"/>
    <w:multiLevelType w:val="hybridMultilevel"/>
    <w:tmpl w:val="4F7831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B3804EF"/>
    <w:multiLevelType w:val="hybridMultilevel"/>
    <w:tmpl w:val="CFD0EB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F457FD8"/>
    <w:multiLevelType w:val="hybridMultilevel"/>
    <w:tmpl w:val="D11C99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3FE2826"/>
    <w:multiLevelType w:val="hybridMultilevel"/>
    <w:tmpl w:val="CFB024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511B04"/>
    <w:multiLevelType w:val="hybridMultilevel"/>
    <w:tmpl w:val="1F1A76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0115DE"/>
    <w:multiLevelType w:val="hybridMultilevel"/>
    <w:tmpl w:val="EAAED340"/>
    <w:lvl w:ilvl="0" w:tplc="A6D6CF22">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2AD036C"/>
    <w:multiLevelType w:val="hybridMultilevel"/>
    <w:tmpl w:val="DBF27B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9321A5F"/>
    <w:multiLevelType w:val="hybridMultilevel"/>
    <w:tmpl w:val="EB721214"/>
    <w:lvl w:ilvl="0" w:tplc="000C2246">
      <w:start w:val="1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EE41B1A"/>
    <w:multiLevelType w:val="hybridMultilevel"/>
    <w:tmpl w:val="DD4E74C2"/>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DA6538"/>
    <w:multiLevelType w:val="multilevel"/>
    <w:tmpl w:val="E06ACCB6"/>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0E3297"/>
    <w:multiLevelType w:val="hybridMultilevel"/>
    <w:tmpl w:val="0B7CE3C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3606E87"/>
    <w:multiLevelType w:val="hybridMultilevel"/>
    <w:tmpl w:val="F690930A"/>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852571"/>
    <w:multiLevelType w:val="hybridMultilevel"/>
    <w:tmpl w:val="4CA8174A"/>
    <w:lvl w:ilvl="0" w:tplc="000C2246">
      <w:start w:val="1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B2457F5"/>
    <w:multiLevelType w:val="hybridMultilevel"/>
    <w:tmpl w:val="F28CA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C801901"/>
    <w:multiLevelType w:val="hybridMultilevel"/>
    <w:tmpl w:val="3A1E0262"/>
    <w:lvl w:ilvl="0" w:tplc="7FD203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7"/>
  </w:num>
  <w:num w:numId="3">
    <w:abstractNumId w:val="6"/>
  </w:num>
  <w:num w:numId="4">
    <w:abstractNumId w:val="20"/>
  </w:num>
  <w:num w:numId="5">
    <w:abstractNumId w:val="8"/>
  </w:num>
  <w:num w:numId="6">
    <w:abstractNumId w:val="17"/>
  </w:num>
  <w:num w:numId="7">
    <w:abstractNumId w:val="9"/>
  </w:num>
  <w:num w:numId="8">
    <w:abstractNumId w:val="22"/>
  </w:num>
  <w:num w:numId="9">
    <w:abstractNumId w:val="13"/>
  </w:num>
  <w:num w:numId="10">
    <w:abstractNumId w:val="21"/>
  </w:num>
  <w:num w:numId="11">
    <w:abstractNumId w:val="11"/>
  </w:num>
  <w:num w:numId="12">
    <w:abstractNumId w:val="3"/>
  </w:num>
  <w:num w:numId="13">
    <w:abstractNumId w:val="10"/>
  </w:num>
  <w:num w:numId="14">
    <w:abstractNumId w:val="2"/>
  </w:num>
  <w:num w:numId="15">
    <w:abstractNumId w:val="16"/>
  </w:num>
  <w:num w:numId="16">
    <w:abstractNumId w:val="0"/>
  </w:num>
  <w:num w:numId="17">
    <w:abstractNumId w:val="15"/>
  </w:num>
  <w:num w:numId="18">
    <w:abstractNumId w:val="4"/>
  </w:num>
  <w:num w:numId="19">
    <w:abstractNumId w:val="12"/>
  </w:num>
  <w:num w:numId="20">
    <w:abstractNumId w:val="5"/>
  </w:num>
  <w:num w:numId="21">
    <w:abstractNumId w:val="1"/>
  </w:num>
  <w:num w:numId="22">
    <w:abstractNumId w:val="23"/>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BF"/>
    <w:rsid w:val="00050D79"/>
    <w:rsid w:val="000512B0"/>
    <w:rsid w:val="00051581"/>
    <w:rsid w:val="0005659D"/>
    <w:rsid w:val="00060D49"/>
    <w:rsid w:val="00062C5F"/>
    <w:rsid w:val="0009097B"/>
    <w:rsid w:val="00090AE6"/>
    <w:rsid w:val="0009296A"/>
    <w:rsid w:val="000D6E69"/>
    <w:rsid w:val="0011454A"/>
    <w:rsid w:val="001743C7"/>
    <w:rsid w:val="001A4F8C"/>
    <w:rsid w:val="001B41B2"/>
    <w:rsid w:val="001B7114"/>
    <w:rsid w:val="001D720C"/>
    <w:rsid w:val="001E527D"/>
    <w:rsid w:val="001F2CAA"/>
    <w:rsid w:val="001F41DA"/>
    <w:rsid w:val="002174F7"/>
    <w:rsid w:val="00217C32"/>
    <w:rsid w:val="002204CC"/>
    <w:rsid w:val="00231DD9"/>
    <w:rsid w:val="002340F8"/>
    <w:rsid w:val="00237ABB"/>
    <w:rsid w:val="00241D94"/>
    <w:rsid w:val="00245B40"/>
    <w:rsid w:val="00246FB5"/>
    <w:rsid w:val="002475D5"/>
    <w:rsid w:val="0024762E"/>
    <w:rsid w:val="002574BF"/>
    <w:rsid w:val="0026048D"/>
    <w:rsid w:val="00284C7D"/>
    <w:rsid w:val="002A0EE2"/>
    <w:rsid w:val="002A5B7C"/>
    <w:rsid w:val="002B3BEB"/>
    <w:rsid w:val="002B4208"/>
    <w:rsid w:val="002B5B4B"/>
    <w:rsid w:val="002B7950"/>
    <w:rsid w:val="002C0060"/>
    <w:rsid w:val="002C11E2"/>
    <w:rsid w:val="002C3EC8"/>
    <w:rsid w:val="002D047F"/>
    <w:rsid w:val="002D1B47"/>
    <w:rsid w:val="002D6F79"/>
    <w:rsid w:val="002D7343"/>
    <w:rsid w:val="00304C78"/>
    <w:rsid w:val="003117EB"/>
    <w:rsid w:val="0031717A"/>
    <w:rsid w:val="003258D6"/>
    <w:rsid w:val="00325B44"/>
    <w:rsid w:val="00331623"/>
    <w:rsid w:val="003454D6"/>
    <w:rsid w:val="00353A71"/>
    <w:rsid w:val="0036440D"/>
    <w:rsid w:val="003C1044"/>
    <w:rsid w:val="003C2197"/>
    <w:rsid w:val="003C2F18"/>
    <w:rsid w:val="003D186A"/>
    <w:rsid w:val="003D41EE"/>
    <w:rsid w:val="003D6970"/>
    <w:rsid w:val="00404BCB"/>
    <w:rsid w:val="00416C5E"/>
    <w:rsid w:val="0042213B"/>
    <w:rsid w:val="004259B4"/>
    <w:rsid w:val="00456690"/>
    <w:rsid w:val="004A7A6C"/>
    <w:rsid w:val="004B7D5C"/>
    <w:rsid w:val="004C30A9"/>
    <w:rsid w:val="004C74B1"/>
    <w:rsid w:val="00500C4F"/>
    <w:rsid w:val="00520DA4"/>
    <w:rsid w:val="0055611F"/>
    <w:rsid w:val="005758ED"/>
    <w:rsid w:val="0058022B"/>
    <w:rsid w:val="00581153"/>
    <w:rsid w:val="0058741D"/>
    <w:rsid w:val="00595966"/>
    <w:rsid w:val="005D7E6A"/>
    <w:rsid w:val="00606E29"/>
    <w:rsid w:val="00621F04"/>
    <w:rsid w:val="0063392C"/>
    <w:rsid w:val="00636852"/>
    <w:rsid w:val="006435A7"/>
    <w:rsid w:val="00645C78"/>
    <w:rsid w:val="00657CFE"/>
    <w:rsid w:val="0066773B"/>
    <w:rsid w:val="00691A55"/>
    <w:rsid w:val="00695AFC"/>
    <w:rsid w:val="0069793F"/>
    <w:rsid w:val="006C2879"/>
    <w:rsid w:val="006C4930"/>
    <w:rsid w:val="006E1AFA"/>
    <w:rsid w:val="006F3F27"/>
    <w:rsid w:val="00712BD2"/>
    <w:rsid w:val="00720383"/>
    <w:rsid w:val="00730A87"/>
    <w:rsid w:val="00767C89"/>
    <w:rsid w:val="00771B09"/>
    <w:rsid w:val="00786758"/>
    <w:rsid w:val="007900FC"/>
    <w:rsid w:val="0079237D"/>
    <w:rsid w:val="007932C6"/>
    <w:rsid w:val="007C53F7"/>
    <w:rsid w:val="0081799E"/>
    <w:rsid w:val="00827FD7"/>
    <w:rsid w:val="00833F88"/>
    <w:rsid w:val="008545C0"/>
    <w:rsid w:val="00856FAE"/>
    <w:rsid w:val="00870892"/>
    <w:rsid w:val="00875D7B"/>
    <w:rsid w:val="008B1A38"/>
    <w:rsid w:val="008C4582"/>
    <w:rsid w:val="008E15B6"/>
    <w:rsid w:val="008E66A5"/>
    <w:rsid w:val="008F08A9"/>
    <w:rsid w:val="008F1DF4"/>
    <w:rsid w:val="008F7255"/>
    <w:rsid w:val="00915175"/>
    <w:rsid w:val="0095111F"/>
    <w:rsid w:val="0098334C"/>
    <w:rsid w:val="009A288C"/>
    <w:rsid w:val="009A5580"/>
    <w:rsid w:val="009B3BFB"/>
    <w:rsid w:val="009C48CA"/>
    <w:rsid w:val="009D5930"/>
    <w:rsid w:val="00A113A0"/>
    <w:rsid w:val="00A152F7"/>
    <w:rsid w:val="00A27522"/>
    <w:rsid w:val="00A354BE"/>
    <w:rsid w:val="00A44DF1"/>
    <w:rsid w:val="00A47FCE"/>
    <w:rsid w:val="00A605AF"/>
    <w:rsid w:val="00AA4937"/>
    <w:rsid w:val="00AB3068"/>
    <w:rsid w:val="00AC041F"/>
    <w:rsid w:val="00AD136C"/>
    <w:rsid w:val="00AD5835"/>
    <w:rsid w:val="00B060E6"/>
    <w:rsid w:val="00B12C16"/>
    <w:rsid w:val="00B162BB"/>
    <w:rsid w:val="00B222DE"/>
    <w:rsid w:val="00B22AEC"/>
    <w:rsid w:val="00B24952"/>
    <w:rsid w:val="00B533DE"/>
    <w:rsid w:val="00B73F29"/>
    <w:rsid w:val="00B91C72"/>
    <w:rsid w:val="00B92C79"/>
    <w:rsid w:val="00BA3026"/>
    <w:rsid w:val="00BA7E17"/>
    <w:rsid w:val="00BC03EC"/>
    <w:rsid w:val="00BC2C57"/>
    <w:rsid w:val="00BC2CEF"/>
    <w:rsid w:val="00BC4F75"/>
    <w:rsid w:val="00BC63CB"/>
    <w:rsid w:val="00BC7BC4"/>
    <w:rsid w:val="00BD0D48"/>
    <w:rsid w:val="00BD53C5"/>
    <w:rsid w:val="00C056CE"/>
    <w:rsid w:val="00C05FA2"/>
    <w:rsid w:val="00C15B78"/>
    <w:rsid w:val="00C2516C"/>
    <w:rsid w:val="00C33A14"/>
    <w:rsid w:val="00C4082A"/>
    <w:rsid w:val="00C94F2A"/>
    <w:rsid w:val="00CA218A"/>
    <w:rsid w:val="00CA6F22"/>
    <w:rsid w:val="00CE7B3D"/>
    <w:rsid w:val="00CF04C4"/>
    <w:rsid w:val="00CF326D"/>
    <w:rsid w:val="00D00407"/>
    <w:rsid w:val="00D0052A"/>
    <w:rsid w:val="00D227C2"/>
    <w:rsid w:val="00D73CBD"/>
    <w:rsid w:val="00D73EBE"/>
    <w:rsid w:val="00D92091"/>
    <w:rsid w:val="00DA40A0"/>
    <w:rsid w:val="00DB51CE"/>
    <w:rsid w:val="00DB5E89"/>
    <w:rsid w:val="00DC16D1"/>
    <w:rsid w:val="00DD54B1"/>
    <w:rsid w:val="00DD58CB"/>
    <w:rsid w:val="00DF113A"/>
    <w:rsid w:val="00DF7093"/>
    <w:rsid w:val="00E0288B"/>
    <w:rsid w:val="00E04F8C"/>
    <w:rsid w:val="00E31741"/>
    <w:rsid w:val="00E37BD2"/>
    <w:rsid w:val="00E426C5"/>
    <w:rsid w:val="00E42DE0"/>
    <w:rsid w:val="00E43BBB"/>
    <w:rsid w:val="00E53DAF"/>
    <w:rsid w:val="00E73CC5"/>
    <w:rsid w:val="00E866BE"/>
    <w:rsid w:val="00E86DB9"/>
    <w:rsid w:val="00E95751"/>
    <w:rsid w:val="00E96DE4"/>
    <w:rsid w:val="00EA61F7"/>
    <w:rsid w:val="00EC5C8C"/>
    <w:rsid w:val="00ED0144"/>
    <w:rsid w:val="00ED182F"/>
    <w:rsid w:val="00ED2996"/>
    <w:rsid w:val="00ED2FAB"/>
    <w:rsid w:val="00ED5105"/>
    <w:rsid w:val="00EE2926"/>
    <w:rsid w:val="00EE74A5"/>
    <w:rsid w:val="00F05B58"/>
    <w:rsid w:val="00F23F7B"/>
    <w:rsid w:val="00F51079"/>
    <w:rsid w:val="00F569E4"/>
    <w:rsid w:val="00F61D2B"/>
    <w:rsid w:val="00FA3818"/>
    <w:rsid w:val="00FA3A6B"/>
    <w:rsid w:val="00FC6537"/>
    <w:rsid w:val="00FD3D2E"/>
    <w:rsid w:val="00FE5F39"/>
    <w:rsid w:val="00FE620D"/>
    <w:rsid w:val="00FF15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6BEC2"/>
  <w15:docId w15:val="{3F09899C-8E94-4992-B881-8CC0A1DC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sz w:val="26"/>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tabs>
        <w:tab w:val="left" w:pos="-720"/>
        <w:tab w:val="left" w:pos="0"/>
        <w:tab w:val="left" w:pos="720"/>
      </w:tabs>
      <w:suppressAutoHyphens/>
      <w:ind w:left="1440" w:hanging="1440"/>
      <w:jc w:val="both"/>
      <w:outlineLvl w:val="2"/>
    </w:pPr>
    <w:rPr>
      <w:b/>
      <w:iCs/>
      <w:spacing w:val="-3"/>
      <w:lang w:val="hr-HR"/>
    </w:rPr>
  </w:style>
  <w:style w:type="paragraph" w:styleId="Heading4">
    <w:name w:val="heading 4"/>
    <w:basedOn w:val="Normal"/>
    <w:next w:val="Normal"/>
    <w:qFormat/>
    <w:pPr>
      <w:keepNext/>
      <w:tabs>
        <w:tab w:val="left" w:pos="-720"/>
        <w:tab w:val="left" w:pos="0"/>
      </w:tabs>
      <w:suppressAutoHyphens/>
      <w:ind w:left="720" w:hanging="720"/>
      <w:jc w:val="both"/>
      <w:outlineLvl w:val="3"/>
    </w:pPr>
    <w:rPr>
      <w:b/>
      <w:iCs/>
      <w:spacing w:val="-2"/>
      <w:sz w:val="20"/>
      <w:lang w:val="hr-HR"/>
    </w:rPr>
  </w:style>
  <w:style w:type="paragraph" w:styleId="Heading5">
    <w:name w:val="heading 5"/>
    <w:basedOn w:val="Normal"/>
    <w:next w:val="Normal"/>
    <w:qFormat/>
    <w:pPr>
      <w:keepNext/>
      <w:tabs>
        <w:tab w:val="left" w:pos="-720"/>
        <w:tab w:val="left" w:pos="0"/>
      </w:tabs>
      <w:suppressAutoHyphens/>
      <w:ind w:left="720" w:hanging="720"/>
      <w:jc w:val="both"/>
      <w:outlineLvl w:val="4"/>
    </w:pPr>
    <w:rPr>
      <w:b/>
      <w:iCs/>
      <w:spacing w:val="-2"/>
      <w:lang w:val="hr-HR"/>
    </w:rPr>
  </w:style>
  <w:style w:type="paragraph" w:styleId="Heading6">
    <w:name w:val="heading 6"/>
    <w:basedOn w:val="Normal"/>
    <w:next w:val="Normal"/>
    <w:qFormat/>
    <w:pPr>
      <w:keepNext/>
      <w:tabs>
        <w:tab w:val="left" w:pos="-720"/>
        <w:tab w:val="left" w:pos="0"/>
      </w:tabs>
      <w:suppressAutoHyphens/>
      <w:ind w:left="720" w:hanging="720"/>
      <w:jc w:val="both"/>
      <w:outlineLvl w:val="5"/>
    </w:pPr>
    <w:rPr>
      <w:b/>
      <w:iCs/>
      <w:spacing w:val="-2"/>
      <w:sz w:val="26"/>
      <w:lang w:val="hr-HR"/>
    </w:rPr>
  </w:style>
  <w:style w:type="paragraph" w:styleId="Heading7">
    <w:name w:val="heading 7"/>
    <w:basedOn w:val="Normal"/>
    <w:next w:val="Normal"/>
    <w:qFormat/>
    <w:pPr>
      <w:keepNext/>
      <w:jc w:val="center"/>
      <w:outlineLvl w:val="6"/>
    </w:pPr>
    <w:rPr>
      <w:b/>
      <w:bCs/>
      <w:iCs/>
      <w:sz w:val="28"/>
    </w:rPr>
  </w:style>
  <w:style w:type="paragraph" w:styleId="Heading8">
    <w:name w:val="heading 8"/>
    <w:basedOn w:val="Normal"/>
    <w:next w:val="Normal"/>
    <w:qFormat/>
    <w:pPr>
      <w:keepNext/>
      <w:jc w:val="both"/>
      <w:outlineLvl w:val="7"/>
    </w:pPr>
    <w:rPr>
      <w:b/>
      <w:bCs/>
      <w:iCs/>
      <w:u w:val="single"/>
    </w:rPr>
  </w:style>
  <w:style w:type="paragraph" w:styleId="Heading9">
    <w:name w:val="heading 9"/>
    <w:basedOn w:val="Normal"/>
    <w:next w:val="Normal"/>
    <w:qFormat/>
    <w:pPr>
      <w:keepNext/>
      <w:jc w:val="center"/>
      <w:outlineLvl w:val="8"/>
    </w:pPr>
    <w:rPr>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BodyText2">
    <w:name w:val="Body Text 2"/>
    <w:basedOn w:val="Normal"/>
    <w:semiHidden/>
    <w:pPr>
      <w:jc w:val="both"/>
    </w:pPr>
    <w:rPr>
      <w:b/>
      <w:bCs/>
    </w:rPr>
  </w:style>
  <w:style w:type="paragraph" w:styleId="BodyText3">
    <w:name w:val="Body Text 3"/>
    <w:basedOn w:val="Normal"/>
    <w:semiHidden/>
    <w:pPr>
      <w:jc w:val="both"/>
    </w:pPr>
    <w:rPr>
      <w:b/>
      <w:bCs/>
      <w:sz w:val="26"/>
    </w:rPr>
  </w:style>
  <w:style w:type="paragraph" w:styleId="BodyTextIndent">
    <w:name w:val="Body Text Indent"/>
    <w:basedOn w:val="Normal"/>
    <w:semiHidden/>
    <w:pPr>
      <w:ind w:left="-1418"/>
      <w:jc w:val="both"/>
    </w:pPr>
    <w:rPr>
      <w:sz w:val="22"/>
    </w:rPr>
  </w:style>
  <w:style w:type="paragraph" w:styleId="BodyTextIndent2">
    <w:name w:val="Body Text Indent 2"/>
    <w:aliases w:val="  uvlaka 2"/>
    <w:basedOn w:val="Normal"/>
    <w:semiHidden/>
    <w:pPr>
      <w:tabs>
        <w:tab w:val="left" w:pos="-720"/>
        <w:tab w:val="left" w:pos="0"/>
      </w:tabs>
      <w:suppressAutoHyphens/>
      <w:ind w:left="720" w:hanging="720"/>
      <w:jc w:val="both"/>
    </w:pPr>
    <w:rPr>
      <w:b/>
      <w:iCs/>
      <w:spacing w:val="-3"/>
      <w:lang w:val="hr-HR"/>
    </w:rPr>
  </w:style>
  <w:style w:type="paragraph" w:styleId="BalloonText">
    <w:name w:val="Balloon Text"/>
    <w:basedOn w:val="Normal"/>
    <w:link w:val="BalloonTextChar"/>
    <w:uiPriority w:val="99"/>
    <w:semiHidden/>
    <w:unhideWhenUsed/>
    <w:rsid w:val="002574BF"/>
    <w:rPr>
      <w:rFonts w:ascii="Tahoma" w:hAnsi="Tahoma" w:cs="Tahoma"/>
      <w:sz w:val="16"/>
      <w:szCs w:val="16"/>
    </w:rPr>
  </w:style>
  <w:style w:type="character" w:customStyle="1" w:styleId="BalloonTextChar">
    <w:name w:val="Balloon Text Char"/>
    <w:link w:val="BalloonText"/>
    <w:uiPriority w:val="99"/>
    <w:semiHidden/>
    <w:rsid w:val="002574BF"/>
    <w:rPr>
      <w:rFonts w:ascii="Tahoma" w:hAnsi="Tahoma" w:cs="Tahoma"/>
      <w:sz w:val="16"/>
      <w:szCs w:val="16"/>
      <w:lang w:val="en-GB" w:eastAsia="en-US"/>
    </w:rPr>
  </w:style>
  <w:style w:type="paragraph" w:styleId="Header">
    <w:name w:val="header"/>
    <w:basedOn w:val="Normal"/>
    <w:link w:val="HeaderChar"/>
    <w:uiPriority w:val="99"/>
    <w:unhideWhenUsed/>
    <w:rsid w:val="002A0EE2"/>
    <w:pPr>
      <w:tabs>
        <w:tab w:val="center" w:pos="4536"/>
        <w:tab w:val="right" w:pos="9072"/>
      </w:tabs>
    </w:pPr>
  </w:style>
  <w:style w:type="character" w:customStyle="1" w:styleId="HeaderChar">
    <w:name w:val="Header Char"/>
    <w:basedOn w:val="DefaultParagraphFont"/>
    <w:link w:val="Header"/>
    <w:uiPriority w:val="99"/>
    <w:rsid w:val="002A0EE2"/>
    <w:rPr>
      <w:sz w:val="24"/>
      <w:szCs w:val="24"/>
      <w:lang w:val="en-GB" w:eastAsia="en-US"/>
    </w:rPr>
  </w:style>
  <w:style w:type="paragraph" w:styleId="Footer">
    <w:name w:val="footer"/>
    <w:basedOn w:val="Normal"/>
    <w:link w:val="FooterChar"/>
    <w:uiPriority w:val="99"/>
    <w:unhideWhenUsed/>
    <w:rsid w:val="002A0EE2"/>
    <w:pPr>
      <w:tabs>
        <w:tab w:val="center" w:pos="4536"/>
        <w:tab w:val="right" w:pos="9072"/>
      </w:tabs>
    </w:pPr>
  </w:style>
  <w:style w:type="character" w:customStyle="1" w:styleId="FooterChar">
    <w:name w:val="Footer Char"/>
    <w:basedOn w:val="DefaultParagraphFont"/>
    <w:link w:val="Footer"/>
    <w:uiPriority w:val="99"/>
    <w:rsid w:val="002A0EE2"/>
    <w:rPr>
      <w:sz w:val="24"/>
      <w:szCs w:val="24"/>
      <w:lang w:val="en-GB" w:eastAsia="en-US"/>
    </w:rPr>
  </w:style>
  <w:style w:type="paragraph" w:styleId="ListParagraph">
    <w:name w:val="List Paragraph"/>
    <w:basedOn w:val="Normal"/>
    <w:uiPriority w:val="34"/>
    <w:qFormat/>
    <w:rsid w:val="002A0EE2"/>
    <w:pPr>
      <w:ind w:left="720"/>
      <w:contextualSpacing/>
    </w:pPr>
  </w:style>
  <w:style w:type="character" w:styleId="CommentReference">
    <w:name w:val="annotation reference"/>
    <w:basedOn w:val="DefaultParagraphFont"/>
    <w:uiPriority w:val="99"/>
    <w:semiHidden/>
    <w:unhideWhenUsed/>
    <w:rsid w:val="00ED0144"/>
    <w:rPr>
      <w:sz w:val="16"/>
      <w:szCs w:val="16"/>
    </w:rPr>
  </w:style>
  <w:style w:type="paragraph" w:styleId="CommentText">
    <w:name w:val="annotation text"/>
    <w:basedOn w:val="Normal"/>
    <w:link w:val="CommentTextChar"/>
    <w:uiPriority w:val="99"/>
    <w:semiHidden/>
    <w:unhideWhenUsed/>
    <w:rsid w:val="00ED0144"/>
    <w:rPr>
      <w:sz w:val="20"/>
      <w:szCs w:val="20"/>
    </w:rPr>
  </w:style>
  <w:style w:type="character" w:customStyle="1" w:styleId="CommentTextChar">
    <w:name w:val="Comment Text Char"/>
    <w:basedOn w:val="DefaultParagraphFont"/>
    <w:link w:val="CommentText"/>
    <w:uiPriority w:val="99"/>
    <w:semiHidden/>
    <w:rsid w:val="00ED0144"/>
    <w:rPr>
      <w:lang w:val="en-GB" w:eastAsia="en-US"/>
    </w:rPr>
  </w:style>
  <w:style w:type="paragraph" w:styleId="CommentSubject">
    <w:name w:val="annotation subject"/>
    <w:basedOn w:val="CommentText"/>
    <w:next w:val="CommentText"/>
    <w:link w:val="CommentSubjectChar"/>
    <w:uiPriority w:val="99"/>
    <w:semiHidden/>
    <w:unhideWhenUsed/>
    <w:rsid w:val="00ED0144"/>
    <w:rPr>
      <w:b/>
      <w:bCs/>
    </w:rPr>
  </w:style>
  <w:style w:type="character" w:customStyle="1" w:styleId="CommentSubjectChar">
    <w:name w:val="Comment Subject Char"/>
    <w:basedOn w:val="CommentTextChar"/>
    <w:link w:val="CommentSubject"/>
    <w:uiPriority w:val="99"/>
    <w:semiHidden/>
    <w:rsid w:val="00ED0144"/>
    <w:rPr>
      <w:b/>
      <w:bCs/>
      <w:lang w:val="en-GB" w:eastAsia="en-US"/>
    </w:rPr>
  </w:style>
  <w:style w:type="character" w:styleId="Hyperlink">
    <w:name w:val="Hyperlink"/>
    <w:basedOn w:val="DefaultParagraphFont"/>
    <w:uiPriority w:val="99"/>
    <w:unhideWhenUsed/>
    <w:rsid w:val="00C94F2A"/>
    <w:rPr>
      <w:color w:val="0000FF" w:themeColor="hyperlink"/>
      <w:u w:val="single"/>
    </w:rPr>
  </w:style>
  <w:style w:type="character" w:customStyle="1" w:styleId="UnresolvedMention">
    <w:name w:val="Unresolved Mention"/>
    <w:basedOn w:val="DefaultParagraphFont"/>
    <w:uiPriority w:val="99"/>
    <w:semiHidden/>
    <w:unhideWhenUsed/>
    <w:rsid w:val="00C94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8A7E8-84B5-4E57-B23A-DCBE445C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1929</Words>
  <Characters>11929</Characters>
  <Application>Microsoft Office Word</Application>
  <DocSecurity>0</DocSecurity>
  <Lines>99</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Temeljem članka 3</vt:lpstr>
      <vt:lpstr>Temeljem članka 3</vt:lpstr>
    </vt:vector>
  </TitlesOfParts>
  <Company>GS</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Temeljem članka 3</dc:title>
  <dc:creator>Skiljan Robert</dc:creator>
  <cp:lastModifiedBy>Ana Huljev</cp:lastModifiedBy>
  <cp:revision>2</cp:revision>
  <cp:lastPrinted>2017-11-07T07:41:00Z</cp:lastPrinted>
  <dcterms:created xsi:type="dcterms:W3CDTF">2017-11-08T15:01:00Z</dcterms:created>
  <dcterms:modified xsi:type="dcterms:W3CDTF">2017-11-08T15:01:00Z</dcterms:modified>
</cp:coreProperties>
</file>