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9AB47" w14:textId="52211639" w:rsidR="005444F5" w:rsidRPr="00764D18" w:rsidRDefault="003845A0">
      <w:pPr>
        <w:rPr>
          <w:b/>
          <w:bCs/>
        </w:rPr>
      </w:pPr>
      <w:r>
        <w:rPr>
          <w:b/>
          <w:bCs/>
        </w:rPr>
        <w:t xml:space="preserve">III. </w:t>
      </w:r>
      <w:r w:rsidR="00FC21FD" w:rsidRPr="00764D18">
        <w:rPr>
          <w:b/>
          <w:bCs/>
        </w:rPr>
        <w:t>OBRAZLOŽENJE OPĆEG DIJELA FINANCIJSKOG PLANA ZA 202</w:t>
      </w:r>
      <w:r w:rsidR="004F616D">
        <w:rPr>
          <w:b/>
          <w:bCs/>
        </w:rPr>
        <w:t>5</w:t>
      </w:r>
      <w:r w:rsidR="00FC21FD" w:rsidRPr="00764D18">
        <w:rPr>
          <w:b/>
          <w:bCs/>
        </w:rPr>
        <w:t>. GODINU TE PROJEKCIJE ZA 202</w:t>
      </w:r>
      <w:r w:rsidR="004F616D">
        <w:rPr>
          <w:b/>
          <w:bCs/>
        </w:rPr>
        <w:t>6</w:t>
      </w:r>
      <w:r w:rsidR="00FC21FD" w:rsidRPr="00764D18">
        <w:rPr>
          <w:b/>
          <w:bCs/>
        </w:rPr>
        <w:t>. i 202</w:t>
      </w:r>
      <w:r w:rsidR="0081461A">
        <w:rPr>
          <w:b/>
          <w:bCs/>
        </w:rPr>
        <w:t>7</w:t>
      </w:r>
      <w:r w:rsidR="00FC21FD" w:rsidRPr="00764D18">
        <w:rPr>
          <w:b/>
          <w:bCs/>
        </w:rPr>
        <w:t>. GODINU</w:t>
      </w:r>
    </w:p>
    <w:p w14:paraId="652FF379" w14:textId="7B9C44AA" w:rsidR="00FC21FD" w:rsidRPr="00764D18" w:rsidRDefault="00FC21FD">
      <w:pPr>
        <w:rPr>
          <w:b/>
          <w:bCs/>
        </w:rPr>
      </w:pPr>
    </w:p>
    <w:p w14:paraId="37FFA8FC" w14:textId="25C9A838" w:rsidR="00FC21FD" w:rsidRPr="00764D18" w:rsidRDefault="00FC21FD" w:rsidP="00FC21FD">
      <w:pPr>
        <w:pStyle w:val="ListParagraph"/>
        <w:numPr>
          <w:ilvl w:val="0"/>
          <w:numId w:val="1"/>
        </w:numPr>
        <w:rPr>
          <w:b/>
          <w:bCs/>
        </w:rPr>
      </w:pPr>
      <w:r w:rsidRPr="00764D18">
        <w:rPr>
          <w:b/>
          <w:bCs/>
        </w:rPr>
        <w:t xml:space="preserve">PRIHODI </w:t>
      </w:r>
    </w:p>
    <w:p w14:paraId="01EE597D" w14:textId="061F8953" w:rsidR="00FC21FD" w:rsidRDefault="003D6A70" w:rsidP="00C91993">
      <w:pPr>
        <w:jc w:val="both"/>
      </w:pPr>
      <w:r>
        <w:t>Planiran iznos prihoda za 202</w:t>
      </w:r>
      <w:r w:rsidR="004F616D">
        <w:t>5</w:t>
      </w:r>
      <w:r w:rsidR="009832AA">
        <w:t>.</w:t>
      </w:r>
      <w:r>
        <w:t xml:space="preserve"> godinu je </w:t>
      </w:r>
      <w:r w:rsidRPr="00A2706C">
        <w:rPr>
          <w:b/>
          <w:bCs/>
        </w:rPr>
        <w:t>1.</w:t>
      </w:r>
      <w:r w:rsidR="004F616D" w:rsidRPr="00A2706C">
        <w:rPr>
          <w:b/>
          <w:bCs/>
        </w:rPr>
        <w:t>803.500</w:t>
      </w:r>
      <w:r w:rsidR="009B7E63" w:rsidRPr="00A2706C">
        <w:rPr>
          <w:b/>
          <w:bCs/>
        </w:rPr>
        <w:t xml:space="preserve"> </w:t>
      </w:r>
      <w:r w:rsidR="004F616D" w:rsidRPr="00A2706C">
        <w:rPr>
          <w:b/>
          <w:bCs/>
        </w:rPr>
        <w:t>EUR</w:t>
      </w:r>
      <w:r w:rsidR="009B7E63">
        <w:t>, za 202</w:t>
      </w:r>
      <w:r w:rsidR="004F616D">
        <w:t>6</w:t>
      </w:r>
      <w:r w:rsidR="009B7E63">
        <w:t xml:space="preserve">. je </w:t>
      </w:r>
      <w:r w:rsidR="00784FF9">
        <w:t>1.</w:t>
      </w:r>
      <w:r w:rsidR="004F616D">
        <w:t>795.300</w:t>
      </w:r>
      <w:r w:rsidR="00A9744D">
        <w:t xml:space="preserve"> </w:t>
      </w:r>
      <w:r w:rsidR="004F616D">
        <w:t>EUR,</w:t>
      </w:r>
      <w:r w:rsidR="00E339F4">
        <w:t xml:space="preserve"> te  za </w:t>
      </w:r>
      <w:r w:rsidR="00C91993">
        <w:t>202</w:t>
      </w:r>
      <w:r w:rsidR="004F616D">
        <w:t>7</w:t>
      </w:r>
      <w:r w:rsidR="00C91993">
        <w:t xml:space="preserve">. </w:t>
      </w:r>
      <w:r w:rsidR="00424B69">
        <w:t>iznosi</w:t>
      </w:r>
      <w:r w:rsidR="00C91993">
        <w:t xml:space="preserve">  1</w:t>
      </w:r>
      <w:r w:rsidR="004F616D">
        <w:t>.827.300 EUR</w:t>
      </w:r>
      <w:r w:rsidR="00E339F4">
        <w:t xml:space="preserve">. </w:t>
      </w:r>
    </w:p>
    <w:p w14:paraId="348CF9C7" w14:textId="645D3519" w:rsidR="00FC21FD" w:rsidRPr="00764D18" w:rsidRDefault="00FC21FD" w:rsidP="00C91993">
      <w:pPr>
        <w:pStyle w:val="ListParagraph"/>
        <w:numPr>
          <w:ilvl w:val="1"/>
          <w:numId w:val="1"/>
        </w:numPr>
        <w:rPr>
          <w:b/>
          <w:bCs/>
        </w:rPr>
      </w:pPr>
      <w:r w:rsidRPr="00764D18">
        <w:rPr>
          <w:b/>
          <w:bCs/>
        </w:rPr>
        <w:t>Prihodi poslovanja</w:t>
      </w:r>
    </w:p>
    <w:p w14:paraId="3CBAC67B" w14:textId="31F459A3" w:rsidR="00C91993" w:rsidRDefault="00C91993" w:rsidP="001464DD">
      <w:pPr>
        <w:jc w:val="both"/>
      </w:pPr>
      <w:r>
        <w:t xml:space="preserve">Prihodi poslovanja (razred 6 – prihodi iz nadležnog proračuna, prihodi od pružanja usluga i prodaje proizvoda, prihodi od pomoći iz proračuna koji </w:t>
      </w:r>
      <w:r w:rsidR="001464DD">
        <w:t xml:space="preserve">im </w:t>
      </w:r>
      <w:r>
        <w:t>nije nadležan, prihodi od prijenosa temeljem EU sredstava, t</w:t>
      </w:r>
      <w:r w:rsidR="00F67E26">
        <w:t>e donacije – tekuće i kapitalne</w:t>
      </w:r>
      <w:r>
        <w:t xml:space="preserve"> te višak prihoda iz prethodne godine) planirani su u iznosu od 1</w:t>
      </w:r>
      <w:r w:rsidR="00A9744D">
        <w:t>.</w:t>
      </w:r>
      <w:r w:rsidR="004F616D">
        <w:t>803.500 EUR</w:t>
      </w:r>
      <w:r w:rsidR="00324386">
        <w:t xml:space="preserve"> za 202</w:t>
      </w:r>
      <w:r w:rsidR="004F616D">
        <w:t>5</w:t>
      </w:r>
      <w:r w:rsidR="00F67E26">
        <w:t>. godinu. P</w:t>
      </w:r>
      <w:r w:rsidR="001464DD">
        <w:t xml:space="preserve">lan </w:t>
      </w:r>
      <w:r w:rsidR="00F67E26">
        <w:t xml:space="preserve">se </w:t>
      </w:r>
      <w:r w:rsidR="001464DD">
        <w:t>za 202</w:t>
      </w:r>
      <w:r w:rsidR="004F616D">
        <w:t>5</w:t>
      </w:r>
      <w:r w:rsidR="00F67E26">
        <w:t>.</w:t>
      </w:r>
      <w:r w:rsidR="009832AA">
        <w:t xml:space="preserve"> </w:t>
      </w:r>
      <w:r w:rsidR="00F67E26">
        <w:t>godinu</w:t>
      </w:r>
      <w:r w:rsidR="001464DD">
        <w:t xml:space="preserve"> povećao za </w:t>
      </w:r>
      <w:r w:rsidR="004F616D">
        <w:t>22,8</w:t>
      </w:r>
      <w:r w:rsidR="00A9744D">
        <w:t xml:space="preserve"> </w:t>
      </w:r>
      <w:r w:rsidR="001464DD">
        <w:t>% u odnosu na plan za 202</w:t>
      </w:r>
      <w:r w:rsidR="004F616D">
        <w:t>4</w:t>
      </w:r>
      <w:r w:rsidR="001464DD">
        <w:t>.</w:t>
      </w:r>
      <w:r w:rsidR="00F67E26">
        <w:t xml:space="preserve"> godinu.</w:t>
      </w:r>
    </w:p>
    <w:p w14:paraId="1EC926DD" w14:textId="0B91DAE2" w:rsidR="000A0427" w:rsidRDefault="00324386" w:rsidP="00D52882">
      <w:pPr>
        <w:jc w:val="both"/>
      </w:pPr>
      <w:r>
        <w:tab/>
      </w:r>
    </w:p>
    <w:p w14:paraId="2DFEC64E" w14:textId="2C173D34" w:rsidR="001464DD" w:rsidRDefault="001464DD" w:rsidP="001464DD">
      <w:pPr>
        <w:jc w:val="both"/>
      </w:pPr>
      <w:r>
        <w:tab/>
      </w:r>
      <w:r w:rsidRPr="002917C7">
        <w:rPr>
          <w:b/>
          <w:bCs/>
        </w:rPr>
        <w:t xml:space="preserve">Prihodi od pomoći </w:t>
      </w:r>
      <w:r w:rsidR="00B83623" w:rsidRPr="002917C7">
        <w:rPr>
          <w:b/>
          <w:bCs/>
        </w:rPr>
        <w:t xml:space="preserve">63 </w:t>
      </w:r>
      <w:r w:rsidR="004D678E" w:rsidRPr="002917C7">
        <w:rPr>
          <w:b/>
          <w:bCs/>
        </w:rPr>
        <w:t xml:space="preserve"> u iznosu od </w:t>
      </w:r>
      <w:r w:rsidR="004F616D">
        <w:rPr>
          <w:b/>
          <w:bCs/>
        </w:rPr>
        <w:t xml:space="preserve">163.700 EUR </w:t>
      </w:r>
      <w:r w:rsidR="00B83623" w:rsidRPr="002917C7">
        <w:rPr>
          <w:b/>
          <w:bCs/>
        </w:rPr>
        <w:t xml:space="preserve"> odnose se na sljedeće</w:t>
      </w:r>
      <w:r w:rsidR="00B83623">
        <w:t>:</w:t>
      </w:r>
    </w:p>
    <w:p w14:paraId="332C58BB" w14:textId="296E6553" w:rsidR="00B83623" w:rsidRPr="00F67E26" w:rsidRDefault="00B83623" w:rsidP="00D52882">
      <w:pPr>
        <w:ind w:firstLine="708"/>
        <w:jc w:val="both"/>
        <w:rPr>
          <w:color w:val="000000" w:themeColor="text1"/>
        </w:rPr>
      </w:pPr>
      <w:r w:rsidRPr="00EE743B">
        <w:rPr>
          <w:b/>
          <w:bCs/>
        </w:rPr>
        <w:t>6361</w:t>
      </w:r>
      <w:r>
        <w:t xml:space="preserve"> –</w:t>
      </w:r>
      <w:r w:rsidR="00F67E26">
        <w:t xml:space="preserve"> </w:t>
      </w:r>
      <w:r>
        <w:t>prihodi od Ministarstva kulture, Zagrebačke županije, HZZO-a, HAV</w:t>
      </w:r>
      <w:r w:rsidR="009832AA">
        <w:t>C-a</w:t>
      </w:r>
      <w:r>
        <w:t xml:space="preserve"> kojima se financiraju projekti </w:t>
      </w:r>
      <w:r w:rsidR="00F67E26">
        <w:rPr>
          <w:color w:val="000000" w:themeColor="text1"/>
        </w:rPr>
        <w:t>Samob</w:t>
      </w:r>
      <w:r w:rsidRPr="00F67E26">
        <w:rPr>
          <w:color w:val="000000" w:themeColor="text1"/>
        </w:rPr>
        <w:t>o</w:t>
      </w:r>
      <w:r w:rsidR="00F67E26">
        <w:rPr>
          <w:color w:val="000000" w:themeColor="text1"/>
        </w:rPr>
        <w:t>rska glazbena jesen, programi u Galeriji Prica, programi Centra za mlade Bunker, Posebni programi (Vrazova Ljubica, Dječji svijet nedjeljom u 5, Amatersko kazalište PAX), Kino programi te program Vaučera u cjeloživotnom obrazovanju.</w:t>
      </w:r>
    </w:p>
    <w:p w14:paraId="2BB15243" w14:textId="0C3628EE" w:rsidR="004D678E" w:rsidRPr="004D678E" w:rsidRDefault="004D678E" w:rsidP="00EE743B">
      <w:pPr>
        <w:jc w:val="both"/>
      </w:pPr>
      <w:r w:rsidRPr="004D678E">
        <w:t xml:space="preserve">Planirani iznos pomoći </w:t>
      </w:r>
      <w:r w:rsidR="00F67E26">
        <w:t>za 202</w:t>
      </w:r>
      <w:r w:rsidR="00201815">
        <w:t>5</w:t>
      </w:r>
      <w:r w:rsidR="00F67E26">
        <w:t>.</w:t>
      </w:r>
      <w:r w:rsidR="009A3F7A">
        <w:t xml:space="preserve"> </w:t>
      </w:r>
      <w:r w:rsidR="00F67E26">
        <w:t xml:space="preserve">godinu </w:t>
      </w:r>
      <w:r w:rsidRPr="004D678E">
        <w:t xml:space="preserve">je </w:t>
      </w:r>
      <w:r w:rsidR="00A9744D">
        <w:t>1</w:t>
      </w:r>
      <w:r w:rsidR="004F616D">
        <w:t>38.700</w:t>
      </w:r>
      <w:r w:rsidRPr="004D678E">
        <w:t xml:space="preserve"> </w:t>
      </w:r>
      <w:r w:rsidR="004F616D">
        <w:t>EUR</w:t>
      </w:r>
    </w:p>
    <w:p w14:paraId="22C15620" w14:textId="34A14880" w:rsidR="004F616D" w:rsidRDefault="00B83623" w:rsidP="00D52882">
      <w:pPr>
        <w:ind w:firstLine="705"/>
        <w:jc w:val="both"/>
      </w:pPr>
      <w:r w:rsidRPr="00EE743B">
        <w:rPr>
          <w:b/>
          <w:bCs/>
        </w:rPr>
        <w:t>6381</w:t>
      </w:r>
      <w:r>
        <w:t xml:space="preserve"> </w:t>
      </w:r>
      <w:r w:rsidR="004D678E">
        <w:t>–</w:t>
      </w:r>
      <w:r>
        <w:t xml:space="preserve"> </w:t>
      </w:r>
      <w:r w:rsidR="004D678E">
        <w:t xml:space="preserve">prihodi od pomoći temeljem prijenosa EU sredstva odnose se na prihode </w:t>
      </w:r>
      <w:r w:rsidR="009A3F7A">
        <w:t>od Agencije za mobil</w:t>
      </w:r>
      <w:r w:rsidR="002917C7">
        <w:t>no</w:t>
      </w:r>
      <w:r w:rsidR="009A3F7A">
        <w:t>s</w:t>
      </w:r>
      <w:r w:rsidR="002917C7">
        <w:t xml:space="preserve">t </w:t>
      </w:r>
      <w:r w:rsidR="004D678E">
        <w:t>za provedbu projekata Erasmus</w:t>
      </w:r>
      <w:r w:rsidR="009A3F7A">
        <w:t>+ za</w:t>
      </w:r>
      <w:r w:rsidR="004D678E">
        <w:t xml:space="preserve"> obrazovanje</w:t>
      </w:r>
      <w:r w:rsidR="009A3F7A">
        <w:t xml:space="preserve"> odraslih</w:t>
      </w:r>
      <w:r w:rsidR="009832AA">
        <w:t xml:space="preserve"> i za mlade</w:t>
      </w:r>
      <w:r w:rsidR="009A3F7A">
        <w:t xml:space="preserve"> </w:t>
      </w:r>
      <w:r w:rsidR="009832AA">
        <w:t>te za Godišnji kino program koji se</w:t>
      </w:r>
      <w:r w:rsidR="009A3F7A">
        <w:t xml:space="preserve"> </w:t>
      </w:r>
      <w:r w:rsidR="002917C7">
        <w:t>pro</w:t>
      </w:r>
      <w:r w:rsidR="009A3F7A">
        <w:t>vodi u suradnji sa Centrom za k</w:t>
      </w:r>
      <w:r w:rsidR="002917C7">
        <w:t>ul</w:t>
      </w:r>
      <w:r w:rsidR="009A3F7A">
        <w:t>t</w:t>
      </w:r>
      <w:r w:rsidR="002917C7">
        <w:t xml:space="preserve">uru Čakovec. </w:t>
      </w:r>
      <w:r w:rsidR="004D678E">
        <w:t xml:space="preserve">Planirani iznos sredstva </w:t>
      </w:r>
      <w:r w:rsidR="009A3F7A">
        <w:t>za 202</w:t>
      </w:r>
      <w:r w:rsidR="004F616D">
        <w:t>5</w:t>
      </w:r>
      <w:r w:rsidR="009A3F7A">
        <w:t xml:space="preserve">. godinu </w:t>
      </w:r>
      <w:r w:rsidR="004D678E">
        <w:t xml:space="preserve">je </w:t>
      </w:r>
      <w:r w:rsidR="004F616D">
        <w:t>25.000 EUR</w:t>
      </w:r>
    </w:p>
    <w:p w14:paraId="1EB575D4" w14:textId="76187159" w:rsidR="00D52882" w:rsidRDefault="00D52882" w:rsidP="00D52882">
      <w:pPr>
        <w:ind w:firstLine="705"/>
        <w:jc w:val="both"/>
      </w:pPr>
      <w:r w:rsidRPr="00764D18">
        <w:rPr>
          <w:b/>
          <w:bCs/>
        </w:rPr>
        <w:t>Prihod od financijske imovine 641</w:t>
      </w:r>
      <w:r>
        <w:rPr>
          <w:b/>
          <w:bCs/>
        </w:rPr>
        <w:t xml:space="preserve"> </w:t>
      </w:r>
      <w:r>
        <w:t>– odnosi se na prihode od kamata na sredstva na žiro-računu.</w:t>
      </w:r>
    </w:p>
    <w:p w14:paraId="47B74A21" w14:textId="1960926E" w:rsidR="004D678E" w:rsidRDefault="004D678E" w:rsidP="002917C7">
      <w:pPr>
        <w:ind w:firstLine="705"/>
        <w:jc w:val="both"/>
      </w:pPr>
      <w:r w:rsidRPr="002917C7">
        <w:rPr>
          <w:b/>
          <w:bCs/>
        </w:rPr>
        <w:t>Prihodi od pružan</w:t>
      </w:r>
      <w:r w:rsidR="00FF2CA2">
        <w:rPr>
          <w:b/>
          <w:bCs/>
        </w:rPr>
        <w:t xml:space="preserve">ja usluga i prodaje proizvoda </w:t>
      </w:r>
      <w:r w:rsidRPr="002917C7">
        <w:rPr>
          <w:b/>
          <w:bCs/>
        </w:rPr>
        <w:t>66</w:t>
      </w:r>
      <w:r w:rsidR="002917C7" w:rsidRPr="002917C7">
        <w:rPr>
          <w:b/>
          <w:bCs/>
        </w:rPr>
        <w:t>1</w:t>
      </w:r>
      <w:r w:rsidR="00FF2CA2">
        <w:t xml:space="preserve"> – </w:t>
      </w:r>
      <w:r>
        <w:t>planirani</w:t>
      </w:r>
      <w:r w:rsidR="00FF2CA2">
        <w:t xml:space="preserve"> </w:t>
      </w:r>
      <w:r>
        <w:t>iznos za 202</w:t>
      </w:r>
      <w:r w:rsidR="004F616D">
        <w:t>5</w:t>
      </w:r>
      <w:r w:rsidR="009A3F7A">
        <w:t>. je 17</w:t>
      </w:r>
      <w:r w:rsidR="00B30830">
        <w:t>1.000 EUR</w:t>
      </w:r>
      <w:r w:rsidR="009A3F7A">
        <w:t>, a odnose s</w:t>
      </w:r>
      <w:r>
        <w:t xml:space="preserve">e na prihode koje Pučko otvoreno učilište ostvaruje pružanjem različitih </w:t>
      </w:r>
      <w:r w:rsidR="009A3F7A">
        <w:t>obrazovnih programa (</w:t>
      </w:r>
      <w:r>
        <w:t>tečajeva, edukacija, plesne i dramske radio</w:t>
      </w:r>
      <w:r w:rsidR="009A3F7A">
        <w:t>nice), iznajmljivanjem prostora, prodanim ulaznicama od kazališnih predstava i koncerata, a</w:t>
      </w:r>
      <w:r>
        <w:t xml:space="preserve"> najvećim dijelom vlastiti prihod se ostvaruje od </w:t>
      </w:r>
      <w:proofErr w:type="spellStart"/>
      <w:r>
        <w:t>kinoprikazivačke</w:t>
      </w:r>
      <w:proofErr w:type="spellEnd"/>
      <w:r>
        <w:t xml:space="preserve"> djelatnosti</w:t>
      </w:r>
      <w:r w:rsidR="002917C7">
        <w:t xml:space="preserve">. Vlastiti prihod se koristi za financiranje </w:t>
      </w:r>
      <w:r w:rsidR="009A3F7A">
        <w:t>svih programa</w:t>
      </w:r>
      <w:r w:rsidR="002917C7">
        <w:t xml:space="preserve"> POU Samobor</w:t>
      </w:r>
      <w:r w:rsidR="009A3F7A">
        <w:t xml:space="preserve"> (Samoborska glazbena jesen, Galerija Prica, Centar za mlade Bunker, Posebni programi, Kinoprikazivaštvo, obrazovanje), kao i za redovnu djelatnost (energija, tekuće i investicijsko održavanja, komunalne usl</w:t>
      </w:r>
      <w:r w:rsidR="00FF2CA2">
        <w:t>uge, zdravstvene usluge, premije</w:t>
      </w:r>
      <w:r w:rsidR="009A3F7A">
        <w:t xml:space="preserve"> osiguranja i sl.) i nabavu opreme.</w:t>
      </w:r>
    </w:p>
    <w:p w14:paraId="30CD33AD" w14:textId="06CEB533" w:rsidR="002917C7" w:rsidRDefault="00FF2CA2" w:rsidP="002917C7">
      <w:pPr>
        <w:ind w:firstLine="705"/>
        <w:jc w:val="both"/>
      </w:pPr>
      <w:r>
        <w:rPr>
          <w:b/>
          <w:bCs/>
        </w:rPr>
        <w:t>Prihod od donacija</w:t>
      </w:r>
      <w:r w:rsidR="002917C7" w:rsidRPr="002917C7">
        <w:rPr>
          <w:b/>
          <w:bCs/>
        </w:rPr>
        <w:t xml:space="preserve"> 663</w:t>
      </w:r>
      <w:r w:rsidR="002917C7">
        <w:t xml:space="preserve"> – planirani iznos prihoda od donacija </w:t>
      </w:r>
      <w:r>
        <w:t>za 202</w:t>
      </w:r>
      <w:r w:rsidR="00B30830">
        <w:t>5</w:t>
      </w:r>
      <w:r>
        <w:t xml:space="preserve">. godinu </w:t>
      </w:r>
      <w:r w:rsidR="002917C7">
        <w:t xml:space="preserve">je </w:t>
      </w:r>
      <w:r w:rsidR="00B30830">
        <w:t>14.000 EUR</w:t>
      </w:r>
      <w:r>
        <w:t xml:space="preserve">, a odnosi se na prihod </w:t>
      </w:r>
      <w:r w:rsidR="00A9744D">
        <w:t>donacije od fizičkih osoba i donaciju TZ Grada Samobora</w:t>
      </w:r>
    </w:p>
    <w:p w14:paraId="5EADB072" w14:textId="1760E03D" w:rsidR="00D52882" w:rsidRDefault="00D52882" w:rsidP="00D52882">
      <w:pPr>
        <w:ind w:firstLine="705"/>
        <w:jc w:val="both"/>
      </w:pPr>
      <w:r w:rsidRPr="002917C7">
        <w:rPr>
          <w:b/>
          <w:bCs/>
        </w:rPr>
        <w:t>Prihodi iz nadležnog proračuna – opći prihodi i primici  67</w:t>
      </w:r>
      <w:r>
        <w:t xml:space="preserve"> planirani su u iznosu od </w:t>
      </w:r>
      <w:r w:rsidR="00A9744D">
        <w:t>1.</w:t>
      </w:r>
      <w:r w:rsidR="00B30830">
        <w:t>452.800</w:t>
      </w:r>
      <w:r>
        <w:t xml:space="preserve"> </w:t>
      </w:r>
      <w:r w:rsidR="00B30830">
        <w:t>EUR</w:t>
      </w:r>
      <w:r>
        <w:t xml:space="preserve">, a odnose se na prihode za financiranje rashoda poslovanja 6711 </w:t>
      </w:r>
      <w:r w:rsidR="00B30830">
        <w:t>-</w:t>
      </w:r>
      <w:r>
        <w:t xml:space="preserve"> kojima se financiraju rashodi za zaposlene, rashodi za energiju, intelektualne usluge, komunalne usluge, uredski materijal, troškove prava za prikazivanje filmova i sl.,  te na 6712 - prihode za financiranje nabave dugotrajne imovine</w:t>
      </w:r>
      <w:r w:rsidR="00B30830">
        <w:t>.</w:t>
      </w:r>
      <w:r>
        <w:t xml:space="preserve"> U odnosu na 202</w:t>
      </w:r>
      <w:r w:rsidR="00B30830">
        <w:t>4</w:t>
      </w:r>
      <w:r>
        <w:t xml:space="preserve">. plan prihoda iz nadležnog proračuna povećan je za </w:t>
      </w:r>
      <w:r w:rsidR="00B30830">
        <w:t>33,4</w:t>
      </w:r>
      <w:r>
        <w:t xml:space="preserve">%. Povećanje plana se </w:t>
      </w:r>
      <w:r>
        <w:lastRenderedPageBreak/>
        <w:t xml:space="preserve">najvećim dijelom odnosi na povećanje prihoda za </w:t>
      </w:r>
      <w:r w:rsidR="00DB7AA6">
        <w:t>potrebe isplate plaće jer se povećava osnovica za obračun plače, te zbog zapošljavanja novog djelatnika.</w:t>
      </w:r>
    </w:p>
    <w:p w14:paraId="4DCD7927" w14:textId="26912BB0" w:rsidR="00D52882" w:rsidRDefault="00D52882" w:rsidP="00D52882">
      <w:pPr>
        <w:jc w:val="both"/>
      </w:pPr>
      <w:r>
        <w:t>Prihod iz nadležnog proračuna za 202</w:t>
      </w:r>
      <w:r w:rsidR="00B30830">
        <w:t>6</w:t>
      </w:r>
      <w:r>
        <w:t xml:space="preserve">. planiran je u iznosu od </w:t>
      </w:r>
      <w:r w:rsidR="00DB7AA6">
        <w:t>1.</w:t>
      </w:r>
      <w:r w:rsidR="00B30830">
        <w:t>423.600 EUR</w:t>
      </w:r>
      <w:r>
        <w:t>, za 202</w:t>
      </w:r>
      <w:r w:rsidR="00B30830">
        <w:t>7</w:t>
      </w:r>
      <w:r>
        <w:t xml:space="preserve">. planiran je iznos od </w:t>
      </w:r>
      <w:r w:rsidR="00DB7AA6">
        <w:t>1.</w:t>
      </w:r>
      <w:r w:rsidR="00B30830">
        <w:t>455.600 EUR.</w:t>
      </w:r>
    </w:p>
    <w:p w14:paraId="7658D7D0" w14:textId="6993CE13" w:rsidR="000A0427" w:rsidRDefault="00764D18" w:rsidP="00D52882">
      <w:pPr>
        <w:ind w:firstLine="708"/>
        <w:jc w:val="both"/>
      </w:pPr>
      <w:r w:rsidRPr="00764D18">
        <w:rPr>
          <w:b/>
          <w:bCs/>
        </w:rPr>
        <w:t>Ostali prihodi 683</w:t>
      </w:r>
      <w:r>
        <w:t xml:space="preserve"> – odnose se na prihod od usklađenja priznatog pretporeza pri godišnjem obračunu PDV-a</w:t>
      </w:r>
      <w:r w:rsidR="00FF2CA2">
        <w:t>.</w:t>
      </w:r>
    </w:p>
    <w:p w14:paraId="2B43FF5D" w14:textId="77777777" w:rsidR="00AD73CE" w:rsidRDefault="00AD73CE" w:rsidP="00D52882">
      <w:pPr>
        <w:ind w:firstLine="708"/>
        <w:jc w:val="both"/>
      </w:pPr>
    </w:p>
    <w:p w14:paraId="2E631514" w14:textId="591067ED" w:rsidR="00764D18" w:rsidRDefault="00E339F4" w:rsidP="00764D18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E339F4">
        <w:rPr>
          <w:b/>
          <w:bCs/>
        </w:rPr>
        <w:t>RASHODI</w:t>
      </w:r>
    </w:p>
    <w:p w14:paraId="5F1E8136" w14:textId="6A04AD64" w:rsidR="00424B69" w:rsidRDefault="00E339F4" w:rsidP="00E339F4">
      <w:pPr>
        <w:jc w:val="both"/>
      </w:pPr>
      <w:r>
        <w:t>Rashodi za 202</w:t>
      </w:r>
      <w:r w:rsidR="00B30830">
        <w:t>5</w:t>
      </w:r>
      <w:r>
        <w:t xml:space="preserve">. g planirani su u iznosu od </w:t>
      </w:r>
      <w:r w:rsidR="00424B69" w:rsidRPr="00A2706C">
        <w:rPr>
          <w:b/>
          <w:bCs/>
        </w:rPr>
        <w:t>1.</w:t>
      </w:r>
      <w:r w:rsidR="00B30830" w:rsidRPr="00A2706C">
        <w:rPr>
          <w:b/>
          <w:bCs/>
        </w:rPr>
        <w:t>844.500 EUR</w:t>
      </w:r>
      <w:r w:rsidR="00424B69">
        <w:t>, za 202</w:t>
      </w:r>
      <w:r w:rsidR="00B30830">
        <w:t>6</w:t>
      </w:r>
      <w:r w:rsidR="00424B69">
        <w:t xml:space="preserve">. planiran </w:t>
      </w:r>
      <w:r w:rsidR="00FF2CA2">
        <w:t>iznos rashoda je 1.</w:t>
      </w:r>
      <w:r w:rsidR="00B30830">
        <w:t xml:space="preserve">795.300 EUR, </w:t>
      </w:r>
      <w:r w:rsidR="00424B69">
        <w:t xml:space="preserve"> te je </w:t>
      </w:r>
      <w:r w:rsidR="00FF2CA2">
        <w:t xml:space="preserve">u </w:t>
      </w:r>
      <w:r w:rsidR="00424B69">
        <w:t>202</w:t>
      </w:r>
      <w:r w:rsidR="00B30830">
        <w:t>7</w:t>
      </w:r>
      <w:r w:rsidR="00424B69">
        <w:t>. planiran iznos rashoda od 1.</w:t>
      </w:r>
      <w:r w:rsidR="00B30830">
        <w:t>827.300 EUR.</w:t>
      </w:r>
    </w:p>
    <w:p w14:paraId="4FAF2BD7" w14:textId="2103A46C" w:rsidR="005C07E3" w:rsidRDefault="005C07E3" w:rsidP="00E339F4">
      <w:pPr>
        <w:jc w:val="both"/>
      </w:pPr>
      <w:r>
        <w:t>Plan rashoda poslovanja za 202</w:t>
      </w:r>
      <w:r w:rsidR="00B30830">
        <w:t>5</w:t>
      </w:r>
      <w:r w:rsidR="009832AA">
        <w:t>. godinu</w:t>
      </w:r>
      <w:r>
        <w:t xml:space="preserve"> </w:t>
      </w:r>
      <w:r w:rsidR="00B30830">
        <w:t>po</w:t>
      </w:r>
      <w:r>
        <w:t>rastao u odnosu na 202</w:t>
      </w:r>
      <w:r w:rsidR="00B30830">
        <w:t>4</w:t>
      </w:r>
      <w:r w:rsidR="009832AA">
        <w:t>.</w:t>
      </w:r>
      <w:r w:rsidR="00B30830">
        <w:t xml:space="preserve"> za 19,61%</w:t>
      </w:r>
      <w:r>
        <w:t>. Povećanje se odnosi uglavnom na povećanje rashoda za zaposlene zbog primjene nove osnovice za obračun plaće te zapošljavanja novih djelatnika.</w:t>
      </w:r>
    </w:p>
    <w:p w14:paraId="06ECFF28" w14:textId="39E7CA56" w:rsidR="00424B69" w:rsidRDefault="00424B69" w:rsidP="00E339F4">
      <w:pPr>
        <w:jc w:val="both"/>
      </w:pPr>
      <w:r>
        <w:t>U strukturi ukupno planiranih rashoda za 202</w:t>
      </w:r>
      <w:r w:rsidR="00B30830">
        <w:t>5</w:t>
      </w:r>
      <w:r w:rsidR="009832AA">
        <w:t>.</w:t>
      </w:r>
      <w:r>
        <w:t xml:space="preserve"> najveći udio imaju rashodi poslovanja koji iznose 96% ukupno planiranih rashoda dok rashodi za nabavu nefinancijske imovine čine manji udio koji iznosi 4% ukupno planiranih rashoda za 202</w:t>
      </w:r>
      <w:r w:rsidR="00B30830">
        <w:t>5</w:t>
      </w:r>
      <w:r>
        <w:t>.</w:t>
      </w:r>
    </w:p>
    <w:p w14:paraId="11FC014A" w14:textId="77777777" w:rsidR="009832AA" w:rsidRDefault="009832AA" w:rsidP="00E339F4">
      <w:pPr>
        <w:jc w:val="both"/>
      </w:pPr>
    </w:p>
    <w:p w14:paraId="611699D6" w14:textId="0DB0D79B" w:rsidR="00424B69" w:rsidRPr="00424B69" w:rsidRDefault="00424B69" w:rsidP="00424B69">
      <w:pPr>
        <w:pStyle w:val="ListParagraph"/>
        <w:numPr>
          <w:ilvl w:val="1"/>
          <w:numId w:val="1"/>
        </w:numPr>
        <w:jc w:val="both"/>
        <w:rPr>
          <w:b/>
          <w:bCs/>
        </w:rPr>
      </w:pPr>
      <w:r w:rsidRPr="00424B69">
        <w:rPr>
          <w:b/>
          <w:bCs/>
        </w:rPr>
        <w:t>RASHODI POSLOVANJA</w:t>
      </w:r>
    </w:p>
    <w:p w14:paraId="544BFB39" w14:textId="311A277C" w:rsidR="00424B69" w:rsidRDefault="00424B69" w:rsidP="00424B69">
      <w:pPr>
        <w:jc w:val="both"/>
      </w:pPr>
      <w:r>
        <w:t>Rashodi poslo</w:t>
      </w:r>
      <w:r w:rsidR="00527911">
        <w:t>vanja (razred 3 – rashodi za zaposlene, materijalni rashodi) za 202</w:t>
      </w:r>
      <w:r w:rsidR="00B30830">
        <w:t>5</w:t>
      </w:r>
      <w:r w:rsidR="00527911">
        <w:t xml:space="preserve">. planirani su u iznosu od </w:t>
      </w:r>
      <w:r w:rsidR="00B30830">
        <w:t xml:space="preserve">1.761.500 </w:t>
      </w:r>
      <w:r w:rsidR="005100E3">
        <w:t>EUR</w:t>
      </w:r>
      <w:r w:rsidR="00527911">
        <w:t>, a odnose se na</w:t>
      </w:r>
      <w:r w:rsidR="009D1A28">
        <w:t>:</w:t>
      </w:r>
    </w:p>
    <w:p w14:paraId="6128ED4D" w14:textId="45960BB5" w:rsidR="00527911" w:rsidRDefault="00527911" w:rsidP="00424B69">
      <w:pPr>
        <w:jc w:val="both"/>
      </w:pPr>
      <w:r>
        <w:tab/>
      </w:r>
      <w:r w:rsidR="009D1A28">
        <w:rPr>
          <w:b/>
          <w:bCs/>
        </w:rPr>
        <w:t xml:space="preserve">Rashodi za zaposlene </w:t>
      </w:r>
      <w:r w:rsidRPr="00527911">
        <w:rPr>
          <w:b/>
          <w:bCs/>
        </w:rPr>
        <w:t>31</w:t>
      </w:r>
      <w:r>
        <w:t xml:space="preserve"> – obuhvaćaju bruto plaće, doprinose na plaću i ostale rashode za </w:t>
      </w:r>
      <w:r w:rsidR="00B30830">
        <w:t>20</w:t>
      </w:r>
      <w:r>
        <w:t xml:space="preserve"> zaposlenih</w:t>
      </w:r>
      <w:r w:rsidR="009D1A28">
        <w:t xml:space="preserve"> te novo </w:t>
      </w:r>
      <w:r w:rsidR="00082990">
        <w:t xml:space="preserve">zapošljavanje. </w:t>
      </w:r>
      <w:r>
        <w:t xml:space="preserve"> Planirani su u iznosu od </w:t>
      </w:r>
      <w:r w:rsidR="00B30830">
        <w:t>774.500</w:t>
      </w:r>
      <w:r w:rsidR="00946046">
        <w:t xml:space="preserve"> </w:t>
      </w:r>
      <w:r w:rsidR="00B30830">
        <w:t>EUR</w:t>
      </w:r>
      <w:r w:rsidR="00082990">
        <w:t xml:space="preserve">, koji se najvećim dijelom financiraju iz općih prihoda i primitaka, te dijelom iz prihoda od pomoći </w:t>
      </w:r>
    </w:p>
    <w:p w14:paraId="2D10AF86" w14:textId="77777777" w:rsidR="00201815" w:rsidRDefault="00201815" w:rsidP="00424B69">
      <w:pPr>
        <w:jc w:val="both"/>
      </w:pPr>
    </w:p>
    <w:p w14:paraId="53B66122" w14:textId="04B5DBF1" w:rsidR="00946046" w:rsidRPr="00D404EC" w:rsidRDefault="00946046" w:rsidP="00946046">
      <w:pPr>
        <w:jc w:val="both"/>
        <w:rPr>
          <w:b/>
          <w:bCs/>
        </w:rPr>
      </w:pPr>
      <w:r>
        <w:tab/>
      </w:r>
      <w:r w:rsidR="009D1A28">
        <w:rPr>
          <w:b/>
          <w:bCs/>
        </w:rPr>
        <w:t xml:space="preserve">Materijalni rashodi </w:t>
      </w:r>
      <w:r w:rsidRPr="00D404EC">
        <w:rPr>
          <w:b/>
          <w:bCs/>
        </w:rPr>
        <w:t xml:space="preserve">32 – </w:t>
      </w:r>
      <w:r w:rsidRPr="009D1A28">
        <w:rPr>
          <w:bCs/>
        </w:rPr>
        <w:t xml:space="preserve">planirani iznos materijalnih rashoda </w:t>
      </w:r>
      <w:r w:rsidR="009D1A28">
        <w:rPr>
          <w:bCs/>
        </w:rPr>
        <w:t>za 202</w:t>
      </w:r>
      <w:r w:rsidR="00B30830">
        <w:rPr>
          <w:bCs/>
        </w:rPr>
        <w:t>5</w:t>
      </w:r>
      <w:r w:rsidR="009D1A28">
        <w:rPr>
          <w:bCs/>
        </w:rPr>
        <w:t xml:space="preserve">.godinu </w:t>
      </w:r>
      <w:r w:rsidRPr="009D1A28">
        <w:rPr>
          <w:bCs/>
        </w:rPr>
        <w:t>je</w:t>
      </w:r>
      <w:r w:rsidR="00913D0D" w:rsidRPr="009D1A28">
        <w:rPr>
          <w:bCs/>
        </w:rPr>
        <w:t xml:space="preserve"> </w:t>
      </w:r>
      <w:r w:rsidR="00082990">
        <w:rPr>
          <w:bCs/>
        </w:rPr>
        <w:t>972.500 EUR, a financiraju se iz općih prihoda i primitaka, vlastitih prihoda, pomoći te dijelom iz donacija.</w:t>
      </w:r>
    </w:p>
    <w:p w14:paraId="05B37B19" w14:textId="0BCA1F45" w:rsidR="00AD73CE" w:rsidRDefault="00913D0D" w:rsidP="00913D0D">
      <w:pPr>
        <w:jc w:val="both"/>
      </w:pPr>
      <w:r>
        <w:t>Materijalni rashodi obuhvaćaju:</w:t>
      </w:r>
    </w:p>
    <w:p w14:paraId="29BBAB86" w14:textId="61C033B4" w:rsidR="00EE743B" w:rsidRPr="00201815" w:rsidRDefault="00913D0D" w:rsidP="00913D0D">
      <w:pPr>
        <w:jc w:val="both"/>
      </w:pPr>
      <w:r>
        <w:tab/>
      </w:r>
      <w:r w:rsidRPr="00201815">
        <w:t>321</w:t>
      </w:r>
      <w:r w:rsidR="004F2325" w:rsidRPr="00201815">
        <w:t xml:space="preserve"> –</w:t>
      </w:r>
      <w:r w:rsidRPr="00201815">
        <w:t xml:space="preserve"> Naknade</w:t>
      </w:r>
      <w:r w:rsidR="004F2325" w:rsidRPr="00201815">
        <w:t xml:space="preserve"> </w:t>
      </w:r>
      <w:r w:rsidRPr="00201815">
        <w:t xml:space="preserve">troškova zaposlenima </w:t>
      </w:r>
      <w:r w:rsidR="00082990" w:rsidRPr="00201815">
        <w:t xml:space="preserve">45.900 EUR </w:t>
      </w:r>
      <w:r w:rsidR="00D234DB" w:rsidRPr="00201815">
        <w:t xml:space="preserve"> </w:t>
      </w:r>
    </w:p>
    <w:p w14:paraId="4B73DC03" w14:textId="30295FE7" w:rsidR="00EE743B" w:rsidRPr="00201815" w:rsidRDefault="00913D0D" w:rsidP="00913D0D">
      <w:pPr>
        <w:jc w:val="both"/>
      </w:pPr>
      <w:r w:rsidRPr="00201815">
        <w:tab/>
        <w:t>322 – Rashodi za materijal i energiju</w:t>
      </w:r>
      <w:r w:rsidR="00170374" w:rsidRPr="00201815">
        <w:t xml:space="preserve"> </w:t>
      </w:r>
      <w:r w:rsidR="00082990" w:rsidRPr="00201815">
        <w:t xml:space="preserve">89.800 EUR </w:t>
      </w:r>
    </w:p>
    <w:p w14:paraId="5D30A1FD" w14:textId="219F2AD3" w:rsidR="00EE743B" w:rsidRPr="00201815" w:rsidRDefault="00D404EC" w:rsidP="00913D0D">
      <w:pPr>
        <w:jc w:val="both"/>
      </w:pPr>
      <w:r w:rsidRPr="00201815">
        <w:tab/>
        <w:t xml:space="preserve">323 </w:t>
      </w:r>
      <w:r w:rsidR="004F2325" w:rsidRPr="00201815">
        <w:t>–</w:t>
      </w:r>
      <w:r w:rsidRPr="00201815">
        <w:t xml:space="preserve"> </w:t>
      </w:r>
      <w:r w:rsidR="004F2325" w:rsidRPr="00201815">
        <w:t>R</w:t>
      </w:r>
      <w:r w:rsidRPr="00201815">
        <w:t>ashodi</w:t>
      </w:r>
      <w:r w:rsidR="004F2325" w:rsidRPr="00201815">
        <w:t xml:space="preserve"> </w:t>
      </w:r>
      <w:r w:rsidRPr="00201815">
        <w:t>za usluge</w:t>
      </w:r>
      <w:r w:rsidR="004F2325" w:rsidRPr="00201815">
        <w:t xml:space="preserve"> </w:t>
      </w:r>
      <w:r w:rsidR="005100E3" w:rsidRPr="00201815">
        <w:t>77</w:t>
      </w:r>
      <w:r w:rsidR="003B1BEC" w:rsidRPr="00201815">
        <w:t xml:space="preserve">8.400 </w:t>
      </w:r>
      <w:r w:rsidR="005100E3" w:rsidRPr="00201815">
        <w:t>EUR</w:t>
      </w:r>
      <w:r w:rsidRPr="00201815">
        <w:t xml:space="preserve">, i čine najveći udio u planiranim materijalnim rashodima u iznosu od </w:t>
      </w:r>
      <w:r w:rsidR="005100E3" w:rsidRPr="00201815">
        <w:t>79</w:t>
      </w:r>
      <w:r w:rsidRPr="00201815">
        <w:t>% ukupno planiranih materijalnih rashoda</w:t>
      </w:r>
    </w:p>
    <w:p w14:paraId="78EEC31A" w14:textId="47E082D2" w:rsidR="00D93981" w:rsidRPr="00201815" w:rsidRDefault="00D93981" w:rsidP="00913D0D">
      <w:pPr>
        <w:jc w:val="both"/>
      </w:pPr>
      <w:r w:rsidRPr="00201815">
        <w:tab/>
        <w:t xml:space="preserve">324 – Naknada troškova osobama izvan radnog odnosa </w:t>
      </w:r>
      <w:r w:rsidR="005100E3" w:rsidRPr="00201815">
        <w:t>4.400 EUR</w:t>
      </w:r>
    </w:p>
    <w:p w14:paraId="2C07E023" w14:textId="576ED63F" w:rsidR="00EE743B" w:rsidRDefault="004315EB" w:rsidP="00913D0D">
      <w:pPr>
        <w:jc w:val="both"/>
      </w:pPr>
      <w:r w:rsidRPr="00201815">
        <w:tab/>
        <w:t>329 – Ostali nespo</w:t>
      </w:r>
      <w:r w:rsidR="00A03B66" w:rsidRPr="00201815">
        <w:t xml:space="preserve">menuti rashodi poslovanja </w:t>
      </w:r>
      <w:r w:rsidR="005100E3" w:rsidRPr="00201815">
        <w:t>54.000 EUR</w:t>
      </w:r>
    </w:p>
    <w:p w14:paraId="589B9BF8" w14:textId="77777777" w:rsidR="00AD73CE" w:rsidRPr="00201815" w:rsidRDefault="00AD73CE" w:rsidP="00913D0D">
      <w:pPr>
        <w:jc w:val="both"/>
      </w:pPr>
    </w:p>
    <w:p w14:paraId="26E9ED85" w14:textId="0520DAFF" w:rsidR="005100E3" w:rsidRPr="00201815" w:rsidRDefault="00201815" w:rsidP="00913D0D">
      <w:pPr>
        <w:jc w:val="both"/>
        <w:rPr>
          <w:b/>
          <w:bCs/>
        </w:rPr>
      </w:pPr>
      <w:r>
        <w:rPr>
          <w:b/>
          <w:bCs/>
        </w:rPr>
        <w:t>Financijski rashodi  34 - planirani su u iznosu od 1.900 EUR</w:t>
      </w:r>
    </w:p>
    <w:p w14:paraId="77EE4A78" w14:textId="346EB5FC" w:rsidR="00877416" w:rsidRPr="00201815" w:rsidRDefault="00C40EDF" w:rsidP="00913D0D">
      <w:pPr>
        <w:jc w:val="both"/>
      </w:pPr>
      <w:r>
        <w:tab/>
      </w:r>
      <w:r w:rsidRPr="00201815">
        <w:t>3</w:t>
      </w:r>
      <w:r w:rsidR="00A03B66" w:rsidRPr="00201815">
        <w:t>43 – Ostali financijski rashodi</w:t>
      </w:r>
      <w:r w:rsidRPr="00201815">
        <w:t xml:space="preserve"> </w:t>
      </w:r>
      <w:r w:rsidR="005100E3" w:rsidRPr="00201815">
        <w:t>1.900 EUR</w:t>
      </w:r>
      <w:r w:rsidRPr="00201815">
        <w:t xml:space="preserve"> </w:t>
      </w:r>
    </w:p>
    <w:p w14:paraId="30A1A1D3" w14:textId="3480612B" w:rsidR="00201815" w:rsidRPr="00201815" w:rsidRDefault="00201815" w:rsidP="00913D0D">
      <w:pPr>
        <w:jc w:val="both"/>
        <w:rPr>
          <w:b/>
          <w:bCs/>
        </w:rPr>
      </w:pPr>
      <w:r w:rsidRPr="00201815">
        <w:rPr>
          <w:b/>
          <w:bCs/>
        </w:rPr>
        <w:lastRenderedPageBreak/>
        <w:t>Ostali rashodi 38 – planirani su u iznosu od 12.600  EUR</w:t>
      </w:r>
    </w:p>
    <w:p w14:paraId="06CB9675" w14:textId="4C91FD9C" w:rsidR="00C40EDF" w:rsidRPr="00201815" w:rsidRDefault="00C40EDF" w:rsidP="00913D0D">
      <w:pPr>
        <w:jc w:val="both"/>
      </w:pPr>
      <w:r w:rsidRPr="00201815">
        <w:tab/>
        <w:t>383 -</w:t>
      </w:r>
      <w:r w:rsidR="00343394" w:rsidRPr="00201815">
        <w:t xml:space="preserve"> </w:t>
      </w:r>
      <w:r w:rsidRPr="00201815">
        <w:t>Kazne, penali i naknade šteta  - 1</w:t>
      </w:r>
      <w:r w:rsidR="00146B23" w:rsidRPr="00201815">
        <w:t>2</w:t>
      </w:r>
      <w:r w:rsidRPr="00201815">
        <w:t xml:space="preserve">.600 eura odnosi se na </w:t>
      </w:r>
      <w:r w:rsidR="00343394" w:rsidRPr="00201815">
        <w:t>rezervaciju sredstava vezanih uz sudski spor protiv POU Samobor.</w:t>
      </w:r>
    </w:p>
    <w:p w14:paraId="75370F02" w14:textId="7DA73271" w:rsidR="00343394" w:rsidRDefault="009A4F3B" w:rsidP="00913D0D">
      <w:pPr>
        <w:jc w:val="both"/>
      </w:pPr>
      <w:r>
        <w:t>Rashodi poslovanja u 202</w:t>
      </w:r>
      <w:r w:rsidR="003B1BEC">
        <w:t>6</w:t>
      </w:r>
      <w:r>
        <w:t>. godini planirani su u iznosu od 1.</w:t>
      </w:r>
      <w:r w:rsidR="003B1BEC">
        <w:t>735.000 EUR</w:t>
      </w:r>
      <w:r>
        <w:t>, dok su za 202</w:t>
      </w:r>
      <w:r w:rsidR="003B1BEC">
        <w:t>7</w:t>
      </w:r>
      <w:r>
        <w:t>. planirani u iznosu od 1.</w:t>
      </w:r>
      <w:r w:rsidR="003B1BEC">
        <w:t>767.000 EUR</w:t>
      </w:r>
    </w:p>
    <w:p w14:paraId="1C812AF5" w14:textId="77777777" w:rsidR="00201815" w:rsidRDefault="00201815" w:rsidP="00913D0D">
      <w:pPr>
        <w:jc w:val="both"/>
      </w:pPr>
    </w:p>
    <w:p w14:paraId="312F4E92" w14:textId="32228212" w:rsidR="00467A6B" w:rsidRDefault="00467A6B" w:rsidP="00467A6B">
      <w:pPr>
        <w:pStyle w:val="ListParagraph"/>
        <w:numPr>
          <w:ilvl w:val="1"/>
          <w:numId w:val="1"/>
        </w:numPr>
        <w:jc w:val="both"/>
        <w:rPr>
          <w:b/>
          <w:bCs/>
        </w:rPr>
      </w:pPr>
      <w:r w:rsidRPr="00467A6B">
        <w:rPr>
          <w:b/>
          <w:bCs/>
        </w:rPr>
        <w:t xml:space="preserve">RASHODI ZA NABAVU NEFINANCIJSKE IMOVINE </w:t>
      </w:r>
    </w:p>
    <w:p w14:paraId="70E4A927" w14:textId="7A49A4D4" w:rsidR="00467A6B" w:rsidRDefault="00467A6B" w:rsidP="00467A6B">
      <w:pPr>
        <w:jc w:val="both"/>
      </w:pPr>
      <w:r>
        <w:t>Rashodi za nabavu nefinancijske imovine (razred 4)</w:t>
      </w:r>
      <w:r w:rsidR="00343394">
        <w:t xml:space="preserve"> </w:t>
      </w:r>
      <w:r>
        <w:t>za 202</w:t>
      </w:r>
      <w:r w:rsidR="003B1BEC">
        <w:t>5</w:t>
      </w:r>
      <w:r>
        <w:t>.</w:t>
      </w:r>
      <w:r w:rsidR="00343394">
        <w:t xml:space="preserve"> godinu</w:t>
      </w:r>
      <w:r>
        <w:t xml:space="preserve">  planirani su u iznosu od </w:t>
      </w:r>
      <w:r w:rsidR="003B1BEC">
        <w:t>83.000 EUR</w:t>
      </w:r>
      <w:r>
        <w:t>, a odnose se na:</w:t>
      </w:r>
    </w:p>
    <w:p w14:paraId="5C9A4B1E" w14:textId="571AF129" w:rsidR="00467A6B" w:rsidRDefault="00467A6B" w:rsidP="00467A6B">
      <w:pPr>
        <w:jc w:val="both"/>
      </w:pPr>
      <w:r>
        <w:tab/>
      </w:r>
      <w:r w:rsidR="00343394" w:rsidRPr="00343394">
        <w:rPr>
          <w:b/>
        </w:rPr>
        <w:t xml:space="preserve">41 – </w:t>
      </w:r>
      <w:r w:rsidRPr="00343394">
        <w:rPr>
          <w:b/>
          <w:bCs/>
        </w:rPr>
        <w:t>Rashodi</w:t>
      </w:r>
      <w:r w:rsidR="00343394">
        <w:rPr>
          <w:b/>
          <w:bCs/>
        </w:rPr>
        <w:t xml:space="preserve"> </w:t>
      </w:r>
      <w:r w:rsidRPr="00467A6B">
        <w:rPr>
          <w:b/>
          <w:bCs/>
        </w:rPr>
        <w:t xml:space="preserve"> za nabavu </w:t>
      </w:r>
      <w:proofErr w:type="spellStart"/>
      <w:r w:rsidRPr="00467A6B">
        <w:rPr>
          <w:b/>
          <w:bCs/>
        </w:rPr>
        <w:t>n</w:t>
      </w:r>
      <w:r w:rsidR="00343394">
        <w:rPr>
          <w:b/>
          <w:bCs/>
        </w:rPr>
        <w:t>eproizvedene</w:t>
      </w:r>
      <w:proofErr w:type="spellEnd"/>
      <w:r w:rsidR="00343394">
        <w:rPr>
          <w:b/>
          <w:bCs/>
        </w:rPr>
        <w:t xml:space="preserve"> dugotrajne imovine</w:t>
      </w:r>
      <w:r>
        <w:t xml:space="preserve"> </w:t>
      </w:r>
      <w:r w:rsidRPr="00343394">
        <w:rPr>
          <w:b/>
        </w:rPr>
        <w:t xml:space="preserve">u iznosu od </w:t>
      </w:r>
      <w:r w:rsidR="003B1BEC">
        <w:rPr>
          <w:b/>
        </w:rPr>
        <w:t>3.000 EUR</w:t>
      </w:r>
      <w:r w:rsidR="00343394">
        <w:t>,</w:t>
      </w:r>
      <w:r>
        <w:t xml:space="preserve"> a obuhvaćaju nabavu</w:t>
      </w:r>
      <w:r w:rsidR="00343394">
        <w:t xml:space="preserve"> licenci do 3 godine - 4123.</w:t>
      </w:r>
    </w:p>
    <w:p w14:paraId="13F163FB" w14:textId="26B8BEB6" w:rsidR="00EE743B" w:rsidRDefault="00467A6B" w:rsidP="00467A6B">
      <w:pPr>
        <w:jc w:val="both"/>
      </w:pPr>
      <w:r>
        <w:tab/>
      </w:r>
      <w:r w:rsidR="00343394" w:rsidRPr="00343394">
        <w:rPr>
          <w:b/>
        </w:rPr>
        <w:t xml:space="preserve">42 – </w:t>
      </w:r>
      <w:r w:rsidRPr="00343394">
        <w:rPr>
          <w:b/>
          <w:bCs/>
        </w:rPr>
        <w:t>Rashodi</w:t>
      </w:r>
      <w:r w:rsidR="00343394">
        <w:rPr>
          <w:b/>
          <w:bCs/>
        </w:rPr>
        <w:t xml:space="preserve"> </w:t>
      </w:r>
      <w:r w:rsidRPr="00467A6B">
        <w:rPr>
          <w:b/>
          <w:bCs/>
        </w:rPr>
        <w:t xml:space="preserve"> za nabavu proizvedene dugotrajne imovine</w:t>
      </w:r>
      <w:r>
        <w:rPr>
          <w:b/>
          <w:bCs/>
        </w:rPr>
        <w:t xml:space="preserve"> – </w:t>
      </w:r>
      <w:r>
        <w:t>planirani su za 202</w:t>
      </w:r>
      <w:r w:rsidR="00146B23">
        <w:t>4</w:t>
      </w:r>
      <w:r w:rsidR="00343394">
        <w:t>. godinu</w:t>
      </w:r>
      <w:r>
        <w:t xml:space="preserve"> u iznosu </w:t>
      </w:r>
      <w:r w:rsidRPr="003D698B">
        <w:rPr>
          <w:b/>
          <w:bCs/>
        </w:rPr>
        <w:t xml:space="preserve">od </w:t>
      </w:r>
      <w:r w:rsidR="003B1BEC">
        <w:rPr>
          <w:b/>
          <w:bCs/>
        </w:rPr>
        <w:t xml:space="preserve">80.000 EUR,  </w:t>
      </w:r>
      <w:r w:rsidR="003B1BEC">
        <w:t xml:space="preserve">a odnose se na nabavu </w:t>
      </w:r>
      <w:r w:rsidR="00201815">
        <w:t>sportske i glazbene opreme, opreme za održavanje i zaštitu, umjetničkih djela za Galerija Prica, medicinske opreme i sl.</w:t>
      </w:r>
    </w:p>
    <w:p w14:paraId="6F00DDF4" w14:textId="01A8FA60" w:rsidR="009A4F3B" w:rsidRDefault="00620FCF" w:rsidP="00467A6B">
      <w:pPr>
        <w:jc w:val="both"/>
      </w:pPr>
      <w:r>
        <w:t>Rashodi za nabavu nefinancijske imovine financiraju se najvećim dijelom iz prihoda iz nadležnog proračuna</w:t>
      </w:r>
      <w:r w:rsidR="009A4F3B">
        <w:t>, dijelom iz vlastitih prihoda</w:t>
      </w:r>
      <w:r w:rsidR="00201815">
        <w:t>, pomoći i donacija</w:t>
      </w:r>
    </w:p>
    <w:p w14:paraId="554298F0" w14:textId="7536B9AC" w:rsidR="00620FCF" w:rsidRDefault="00620FCF" w:rsidP="00467A6B">
      <w:pPr>
        <w:jc w:val="both"/>
      </w:pPr>
      <w:r>
        <w:t>Rashodi za nabavu nefinancijske imovine za 202</w:t>
      </w:r>
      <w:r w:rsidR="009A4F3B">
        <w:t>5</w:t>
      </w:r>
      <w:r>
        <w:t>. i 202</w:t>
      </w:r>
      <w:r w:rsidR="009A4F3B">
        <w:t>6</w:t>
      </w:r>
      <w:r>
        <w:t xml:space="preserve"> planirani su </w:t>
      </w:r>
      <w:r w:rsidR="009A4F3B">
        <w:t>u iznosu od</w:t>
      </w:r>
      <w:r w:rsidR="00201815">
        <w:t xml:space="preserve"> 60.300 EUR</w:t>
      </w:r>
    </w:p>
    <w:p w14:paraId="35C6B9B8" w14:textId="77777777" w:rsidR="00201815" w:rsidRDefault="00201815" w:rsidP="00467A6B">
      <w:pPr>
        <w:jc w:val="both"/>
      </w:pPr>
    </w:p>
    <w:p w14:paraId="6718D010" w14:textId="70163ED6" w:rsidR="00D52882" w:rsidRPr="00FF7C14" w:rsidRDefault="00FF7C14" w:rsidP="00D52882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FF7C14">
        <w:rPr>
          <w:b/>
          <w:bCs/>
        </w:rPr>
        <w:t>VIŠAK PRIHODA</w:t>
      </w:r>
    </w:p>
    <w:p w14:paraId="7C6697EF" w14:textId="68968F8C" w:rsidR="00D52882" w:rsidRDefault="00D52882" w:rsidP="00D52882">
      <w:pPr>
        <w:jc w:val="both"/>
      </w:pPr>
      <w:r w:rsidRPr="00764D18">
        <w:rPr>
          <w:b/>
          <w:bCs/>
        </w:rPr>
        <w:t>Planirani višak iz 202</w:t>
      </w:r>
      <w:r w:rsidR="00201815">
        <w:rPr>
          <w:b/>
          <w:bCs/>
        </w:rPr>
        <w:t>4</w:t>
      </w:r>
      <w:r w:rsidRPr="00764D18">
        <w:rPr>
          <w:b/>
          <w:bCs/>
        </w:rPr>
        <w:t>. godine 922</w:t>
      </w:r>
      <w:r>
        <w:rPr>
          <w:b/>
          <w:bCs/>
        </w:rPr>
        <w:t>1</w:t>
      </w:r>
      <w:r>
        <w:t xml:space="preserve"> – iznosi </w:t>
      </w:r>
      <w:r w:rsidR="00201815">
        <w:t>41.000 EUR</w:t>
      </w:r>
      <w:r>
        <w:t>, odnosi se na planirani višak od vlastitih prihoda u iznosu od 1</w:t>
      </w:r>
      <w:r w:rsidR="00201815">
        <w:t>9.000 EUR</w:t>
      </w:r>
      <w:r>
        <w:t xml:space="preserve">, višak prihoda iz pomoći u iznosu od </w:t>
      </w:r>
      <w:r w:rsidR="00201815">
        <w:t>20.000 EUR</w:t>
      </w:r>
      <w:r w:rsidR="009832AA">
        <w:t xml:space="preserve"> i</w:t>
      </w:r>
      <w:r>
        <w:t xml:space="preserve"> višak prihoda od donacija u iznosu od </w:t>
      </w:r>
      <w:r w:rsidR="00331F4A">
        <w:t xml:space="preserve">2.000 </w:t>
      </w:r>
      <w:r w:rsidR="00201815">
        <w:t>EUR</w:t>
      </w:r>
      <w:r>
        <w:t>, te se isti planira rasporediti u 202</w:t>
      </w:r>
      <w:r w:rsidR="00201815">
        <w:t>5.</w:t>
      </w:r>
      <w:r>
        <w:t xml:space="preserve"> godini sukladno programima za koje su sredstva dobivena te za nabavu opreme, tekuće i investicijsko održavanje i promidžbu programa Učilišta.</w:t>
      </w:r>
    </w:p>
    <w:p w14:paraId="2AC6C0CB" w14:textId="77777777" w:rsidR="00D52882" w:rsidRPr="00467A6B" w:rsidRDefault="00D52882" w:rsidP="00467A6B">
      <w:pPr>
        <w:jc w:val="both"/>
      </w:pPr>
    </w:p>
    <w:sectPr w:rsidR="00D52882" w:rsidRPr="00467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BF005E"/>
    <w:multiLevelType w:val="multilevel"/>
    <w:tmpl w:val="62769F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DB266FD"/>
    <w:multiLevelType w:val="hybridMultilevel"/>
    <w:tmpl w:val="7BB42FD8"/>
    <w:lvl w:ilvl="0" w:tplc="C80C13C2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819033298">
    <w:abstractNumId w:val="0"/>
  </w:num>
  <w:num w:numId="2" w16cid:durableId="474496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1FD"/>
    <w:rsid w:val="000246A4"/>
    <w:rsid w:val="00082990"/>
    <w:rsid w:val="00091AB2"/>
    <w:rsid w:val="00097A79"/>
    <w:rsid w:val="000A0427"/>
    <w:rsid w:val="000B10B5"/>
    <w:rsid w:val="0013030A"/>
    <w:rsid w:val="001464DD"/>
    <w:rsid w:val="00146B23"/>
    <w:rsid w:val="00170374"/>
    <w:rsid w:val="00201815"/>
    <w:rsid w:val="002917C7"/>
    <w:rsid w:val="00324386"/>
    <w:rsid w:val="00331F4A"/>
    <w:rsid w:val="00343394"/>
    <w:rsid w:val="003845A0"/>
    <w:rsid w:val="003A3479"/>
    <w:rsid w:val="003B1BEC"/>
    <w:rsid w:val="003D698B"/>
    <w:rsid w:val="003D6A70"/>
    <w:rsid w:val="00405113"/>
    <w:rsid w:val="00424B69"/>
    <w:rsid w:val="004315EB"/>
    <w:rsid w:val="00467A6B"/>
    <w:rsid w:val="004D678E"/>
    <w:rsid w:val="004F2325"/>
    <w:rsid w:val="004F616D"/>
    <w:rsid w:val="005100E3"/>
    <w:rsid w:val="00527911"/>
    <w:rsid w:val="005444F5"/>
    <w:rsid w:val="005B41A8"/>
    <w:rsid w:val="005C07E3"/>
    <w:rsid w:val="00620FCF"/>
    <w:rsid w:val="00684CD8"/>
    <w:rsid w:val="00764D18"/>
    <w:rsid w:val="00764EC0"/>
    <w:rsid w:val="00784FF9"/>
    <w:rsid w:val="007B0717"/>
    <w:rsid w:val="0081461A"/>
    <w:rsid w:val="00877416"/>
    <w:rsid w:val="00913D0D"/>
    <w:rsid w:val="00946046"/>
    <w:rsid w:val="009832AA"/>
    <w:rsid w:val="009A3F7A"/>
    <w:rsid w:val="009A4F3B"/>
    <w:rsid w:val="009B7E63"/>
    <w:rsid w:val="009D1A28"/>
    <w:rsid w:val="00A03B66"/>
    <w:rsid w:val="00A2706C"/>
    <w:rsid w:val="00A32B4F"/>
    <w:rsid w:val="00A9744D"/>
    <w:rsid w:val="00AD73CE"/>
    <w:rsid w:val="00B24E77"/>
    <w:rsid w:val="00B30830"/>
    <w:rsid w:val="00B83623"/>
    <w:rsid w:val="00C40EDF"/>
    <w:rsid w:val="00C71415"/>
    <w:rsid w:val="00C91993"/>
    <w:rsid w:val="00C92CD4"/>
    <w:rsid w:val="00C97DF0"/>
    <w:rsid w:val="00D20516"/>
    <w:rsid w:val="00D234DB"/>
    <w:rsid w:val="00D404EC"/>
    <w:rsid w:val="00D52882"/>
    <w:rsid w:val="00D93981"/>
    <w:rsid w:val="00DB5F7F"/>
    <w:rsid w:val="00DB7AA6"/>
    <w:rsid w:val="00E339F4"/>
    <w:rsid w:val="00EE743B"/>
    <w:rsid w:val="00F67E26"/>
    <w:rsid w:val="00F767C9"/>
    <w:rsid w:val="00FC21FD"/>
    <w:rsid w:val="00FD5553"/>
    <w:rsid w:val="00FF2CA2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61FAF"/>
  <w15:chartTrackingRefBased/>
  <w15:docId w15:val="{B0280ECF-8812-4AF5-85AB-A4B75189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1F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917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17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17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7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7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4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37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5e3db4-8f85-4174-8a61-ec0ec55cd4a7" xsi:nil="true"/>
    <lcf76f155ced4ddcb4097134ff3c332f xmlns="14f0dee1-b903-497b-840a-032b19d9980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B1C5D1DF83D438023DCD1E521A4BB" ma:contentTypeVersion="18" ma:contentTypeDescription="Create a new document." ma:contentTypeScope="" ma:versionID="c00071165b8537be1b56ee2f38cbe7d7">
  <xsd:schema xmlns:xsd="http://www.w3.org/2001/XMLSchema" xmlns:xs="http://www.w3.org/2001/XMLSchema" xmlns:p="http://schemas.microsoft.com/office/2006/metadata/properties" xmlns:ns2="14f0dee1-b903-497b-840a-032b19d99808" xmlns:ns3="6c5e3db4-8f85-4174-8a61-ec0ec55cd4a7" targetNamespace="http://schemas.microsoft.com/office/2006/metadata/properties" ma:root="true" ma:fieldsID="6840e572eb358cffbd192f235d24db3d" ns2:_="" ns3:_="">
    <xsd:import namespace="14f0dee1-b903-497b-840a-032b19d99808"/>
    <xsd:import namespace="6c5e3db4-8f85-4174-8a61-ec0ec55cd4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0dee1-b903-497b-840a-032b19d99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9377d66-c8ee-4eec-90b7-a636d60964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e3db4-8f85-4174-8a61-ec0ec55cd4a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38d8ad7-f05e-4420-9f7e-3c45b54905e8}" ma:internalName="TaxCatchAll" ma:showField="CatchAllData" ma:web="6c5e3db4-8f85-4174-8a61-ec0ec55cd4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4CC234-0B0E-44BB-B86B-9A11A533AC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B51908-4BC7-4F09-B5A1-7794C1314478}">
  <ds:schemaRefs>
    <ds:schemaRef ds:uri="http://schemas.microsoft.com/office/2006/metadata/properties"/>
    <ds:schemaRef ds:uri="http://schemas.microsoft.com/office/infopath/2007/PartnerControls"/>
    <ds:schemaRef ds:uri="6c5e3db4-8f85-4174-8a61-ec0ec55cd4a7"/>
    <ds:schemaRef ds:uri="14f0dee1-b903-497b-840a-032b19d99808"/>
  </ds:schemaRefs>
</ds:datastoreItem>
</file>

<file path=customXml/itemProps3.xml><?xml version="1.0" encoding="utf-8"?>
<ds:datastoreItem xmlns:ds="http://schemas.openxmlformats.org/officeDocument/2006/customXml" ds:itemID="{1EAA2F6E-E2B5-49DA-8250-7F4394875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0dee1-b903-497b-840a-032b19d99808"/>
    <ds:schemaRef ds:uri="6c5e3db4-8f85-4174-8a61-ec0ec55cd4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990</Words>
  <Characters>5643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Adrijana Kudric</dc:creator>
  <cp:keywords/>
  <dc:description/>
  <cp:lastModifiedBy>Jasmina Šojić</cp:lastModifiedBy>
  <cp:revision>4</cp:revision>
  <cp:lastPrinted>2024-12-12T11:19:00Z</cp:lastPrinted>
  <dcterms:created xsi:type="dcterms:W3CDTF">2024-12-04T09:31:00Z</dcterms:created>
  <dcterms:modified xsi:type="dcterms:W3CDTF">2024-12-12T11:19:00Z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0x01010054EB1C5D1DF83D438023DCD1E521A4BB</vt:lpwstr>
  </property>
  <property fmtid="{D5CDD505-2E9C-101B-9397-08002B2CF9AE}" pid="3" name="MediaServiceImageTags">
    <vt:lpwstr/>
  </property>
</Properties>
</file>