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A525" w14:textId="09ADA9AF" w:rsidR="00FD3815" w:rsidRDefault="00FD3815" w:rsidP="00FD3815">
      <w:pPr>
        <w:spacing w:after="0" w:line="240" w:lineRule="auto"/>
        <w:rPr>
          <w:b/>
        </w:rPr>
      </w:pPr>
      <w:bookmarkStart w:id="0" w:name="_Toc481750375"/>
      <w:r w:rsidRPr="00FD3815">
        <w:rPr>
          <w:b/>
        </w:rPr>
        <w:t xml:space="preserve">III. </w:t>
      </w:r>
      <w:r w:rsidRPr="00FD3815">
        <w:rPr>
          <w:b/>
        </w:rPr>
        <w:t>OBRAZLOŽENJE POLUGODIŠNJEG IZVJEŠTAJA O IZVRŠENJU FINANCIJSKOG PLANA POU SAMOBOR ZA 2025.</w:t>
      </w:r>
    </w:p>
    <w:p w14:paraId="5B4356CF" w14:textId="77777777" w:rsidR="00FD3815" w:rsidRDefault="00FD3815" w:rsidP="00FD3815">
      <w:pPr>
        <w:spacing w:after="0" w:line="240" w:lineRule="auto"/>
        <w:rPr>
          <w:b/>
        </w:rPr>
      </w:pPr>
    </w:p>
    <w:p w14:paraId="6E6FE9E4" w14:textId="135C0180" w:rsidR="00FD3815" w:rsidRDefault="00FD3815" w:rsidP="00FD3815">
      <w:pPr>
        <w:spacing w:after="0" w:line="240" w:lineRule="auto"/>
        <w:rPr>
          <w:b/>
        </w:rPr>
      </w:pPr>
      <w:r>
        <w:rPr>
          <w:b/>
        </w:rPr>
        <w:t>3.1 O</w:t>
      </w:r>
      <w:r w:rsidRPr="00D926F7">
        <w:rPr>
          <w:b/>
        </w:rPr>
        <w:t>brazloženje</w:t>
      </w:r>
      <w:r>
        <w:rPr>
          <w:b/>
        </w:rPr>
        <w:t xml:space="preserve"> općeg dijela </w:t>
      </w:r>
      <w:r w:rsidRPr="00D926F7">
        <w:rPr>
          <w:b/>
        </w:rPr>
        <w:t>ostvarenja prihoda i primitaka te rashoda i izdataka</w:t>
      </w:r>
      <w:bookmarkEnd w:id="0"/>
      <w:r>
        <w:rPr>
          <w:b/>
        </w:rPr>
        <w:t xml:space="preserve"> </w:t>
      </w:r>
    </w:p>
    <w:p w14:paraId="6834F24D" w14:textId="757E8FB5" w:rsidR="00D926F7" w:rsidRPr="00D926F7" w:rsidRDefault="00FD3815" w:rsidP="00FD3815">
      <w:pPr>
        <w:spacing w:after="0" w:line="240" w:lineRule="auto"/>
        <w:rPr>
          <w:b/>
        </w:rPr>
      </w:pPr>
      <w:r>
        <w:rPr>
          <w:b/>
        </w:rPr>
        <w:t xml:space="preserve">       za razdoblje I.-VI. 202</w:t>
      </w:r>
      <w:r w:rsidR="009752B0">
        <w:rPr>
          <w:b/>
        </w:rPr>
        <w:t>5</w:t>
      </w:r>
      <w:r w:rsidR="0012578F">
        <w:rPr>
          <w:b/>
        </w:rPr>
        <w:t>.</w:t>
      </w:r>
    </w:p>
    <w:p w14:paraId="652FF379" w14:textId="7B9C44AA" w:rsidR="00FC21FD" w:rsidRPr="00764D18" w:rsidRDefault="00FC21FD">
      <w:pPr>
        <w:rPr>
          <w:b/>
          <w:bCs/>
        </w:rPr>
      </w:pPr>
    </w:p>
    <w:p w14:paraId="230132CD" w14:textId="096117C9" w:rsidR="00D926F7" w:rsidRDefault="00FC21FD" w:rsidP="00D926F7">
      <w:pPr>
        <w:pStyle w:val="Odlomakpopisa"/>
        <w:numPr>
          <w:ilvl w:val="0"/>
          <w:numId w:val="1"/>
        </w:numPr>
        <w:rPr>
          <w:b/>
          <w:bCs/>
        </w:rPr>
      </w:pPr>
      <w:r w:rsidRPr="00764D18">
        <w:rPr>
          <w:b/>
          <w:bCs/>
        </w:rPr>
        <w:t xml:space="preserve">PRIHODI </w:t>
      </w:r>
    </w:p>
    <w:p w14:paraId="608EC301" w14:textId="50629967" w:rsidR="00D926F7" w:rsidRPr="00B43C81" w:rsidRDefault="00D926F7" w:rsidP="00C82ECF">
      <w:pPr>
        <w:ind w:firstLine="360"/>
        <w:jc w:val="both"/>
        <w:rPr>
          <w:b/>
          <w:bCs/>
        </w:rPr>
      </w:pPr>
      <w:r w:rsidRPr="00B43C81">
        <w:rPr>
          <w:b/>
          <w:bCs/>
        </w:rPr>
        <w:t>Ostvarenje tekućih prihoda Proračuna POU  Samobora za razdoblje od 1. siječnja do 30. lipnja 202</w:t>
      </w:r>
      <w:r w:rsidR="009752B0">
        <w:rPr>
          <w:b/>
          <w:bCs/>
        </w:rPr>
        <w:t>5</w:t>
      </w:r>
      <w:r w:rsidRPr="00B43C81">
        <w:rPr>
          <w:b/>
          <w:bCs/>
        </w:rPr>
        <w:t xml:space="preserve">. godine u ukupnom iznosu od </w:t>
      </w:r>
      <w:r w:rsidR="008A329D">
        <w:rPr>
          <w:b/>
          <w:bCs/>
        </w:rPr>
        <w:t>871.886,35</w:t>
      </w:r>
      <w:r w:rsidR="00FD0849" w:rsidRPr="00B43C81">
        <w:rPr>
          <w:b/>
          <w:bCs/>
        </w:rPr>
        <w:t xml:space="preserve"> </w:t>
      </w:r>
      <w:r w:rsidRPr="00B43C81">
        <w:rPr>
          <w:b/>
          <w:bCs/>
        </w:rPr>
        <w:t>EUR, s usporednim pokazateljima ostvarenja prihoda i primitaka u istom razdoblju 202</w:t>
      </w:r>
      <w:r w:rsidR="008A329D">
        <w:rPr>
          <w:b/>
          <w:bCs/>
        </w:rPr>
        <w:t>4</w:t>
      </w:r>
      <w:r w:rsidRPr="00B43C81">
        <w:rPr>
          <w:b/>
          <w:bCs/>
        </w:rPr>
        <w:t>. godine, je kako slijedi</w:t>
      </w:r>
      <w:r w:rsidR="009E34ED">
        <w:rPr>
          <w:b/>
          <w:bCs/>
        </w:rPr>
        <w:t>:</w:t>
      </w:r>
    </w:p>
    <w:tbl>
      <w:tblPr>
        <w:tblStyle w:val="Reetkatablice"/>
        <w:tblpPr w:leftFromText="180" w:rightFromText="180" w:vertAnchor="text" w:horzAnchor="margin" w:tblpXSpec="center" w:tblpY="200"/>
        <w:tblW w:w="10740" w:type="dxa"/>
        <w:tblLook w:val="04A0" w:firstRow="1" w:lastRow="0" w:firstColumn="1" w:lastColumn="0" w:noHBand="0" w:noVBand="1"/>
      </w:tblPr>
      <w:tblGrid>
        <w:gridCol w:w="2733"/>
        <w:gridCol w:w="1386"/>
        <w:gridCol w:w="1394"/>
        <w:gridCol w:w="1368"/>
        <w:gridCol w:w="1639"/>
        <w:gridCol w:w="1198"/>
        <w:gridCol w:w="1022"/>
      </w:tblGrid>
      <w:tr w:rsidR="00660552" w:rsidRPr="00660552" w14:paraId="584AC033" w14:textId="77777777" w:rsidTr="00660552">
        <w:trPr>
          <w:trHeight w:val="900"/>
        </w:trPr>
        <w:tc>
          <w:tcPr>
            <w:tcW w:w="2733" w:type="dxa"/>
            <w:hideMark/>
          </w:tcPr>
          <w:p w14:paraId="123E80E9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 xml:space="preserve">Vrsta prihoda </w:t>
            </w:r>
          </w:p>
        </w:tc>
        <w:tc>
          <w:tcPr>
            <w:tcW w:w="1386" w:type="dxa"/>
            <w:hideMark/>
          </w:tcPr>
          <w:p w14:paraId="02E42AF0" w14:textId="03F8859C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Izvršenje</w:t>
            </w:r>
            <w:r w:rsidRPr="00660552">
              <w:rPr>
                <w:b/>
                <w:bCs/>
              </w:rPr>
              <w:br/>
              <w:t>I.-VI.202</w:t>
            </w:r>
            <w:r w:rsidR="00FD19AC">
              <w:rPr>
                <w:b/>
                <w:bCs/>
              </w:rPr>
              <w:t>4</w:t>
            </w:r>
          </w:p>
        </w:tc>
        <w:tc>
          <w:tcPr>
            <w:tcW w:w="1394" w:type="dxa"/>
            <w:hideMark/>
          </w:tcPr>
          <w:p w14:paraId="064FE6D3" w14:textId="6CE40171" w:rsidR="00660552" w:rsidRPr="00660552" w:rsidRDefault="00FD19AC" w:rsidP="00660552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1368" w:type="dxa"/>
            <w:hideMark/>
          </w:tcPr>
          <w:p w14:paraId="4256D185" w14:textId="7701A480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Izvršenje</w:t>
            </w:r>
            <w:r w:rsidRPr="00660552">
              <w:rPr>
                <w:b/>
                <w:bCs/>
              </w:rPr>
              <w:br/>
              <w:t>I.-VI.202</w:t>
            </w:r>
            <w:r w:rsidR="00FD19AC">
              <w:rPr>
                <w:b/>
                <w:bCs/>
              </w:rPr>
              <w:t>5</w:t>
            </w:r>
          </w:p>
        </w:tc>
        <w:tc>
          <w:tcPr>
            <w:tcW w:w="1639" w:type="dxa"/>
            <w:hideMark/>
          </w:tcPr>
          <w:p w14:paraId="17B0B3E0" w14:textId="3EAB8069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 xml:space="preserve">Indeks </w:t>
            </w:r>
            <w:proofErr w:type="spellStart"/>
            <w:r w:rsidRPr="00660552">
              <w:rPr>
                <w:b/>
                <w:bCs/>
              </w:rPr>
              <w:t>izvrš</w:t>
            </w:r>
            <w:proofErr w:type="spellEnd"/>
            <w:r w:rsidRPr="00660552">
              <w:rPr>
                <w:b/>
                <w:bCs/>
              </w:rPr>
              <w:t>/izvrš.202</w:t>
            </w:r>
            <w:r w:rsidR="00FD19AC">
              <w:rPr>
                <w:b/>
                <w:bCs/>
              </w:rPr>
              <w:t>4</w:t>
            </w:r>
          </w:p>
        </w:tc>
        <w:tc>
          <w:tcPr>
            <w:tcW w:w="1198" w:type="dxa"/>
            <w:hideMark/>
          </w:tcPr>
          <w:p w14:paraId="70F15763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Indeks</w:t>
            </w:r>
            <w:r w:rsidRPr="00660552">
              <w:rPr>
                <w:b/>
                <w:bCs/>
              </w:rPr>
              <w:br/>
            </w:r>
            <w:proofErr w:type="spellStart"/>
            <w:r w:rsidRPr="00660552">
              <w:rPr>
                <w:b/>
                <w:bCs/>
              </w:rPr>
              <w:t>izvrš</w:t>
            </w:r>
            <w:proofErr w:type="spellEnd"/>
            <w:r w:rsidRPr="00660552">
              <w:rPr>
                <w:b/>
                <w:bCs/>
              </w:rPr>
              <w:t>./tek. plan</w:t>
            </w:r>
          </w:p>
        </w:tc>
        <w:tc>
          <w:tcPr>
            <w:tcW w:w="1022" w:type="dxa"/>
            <w:hideMark/>
          </w:tcPr>
          <w:p w14:paraId="75B267F3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 xml:space="preserve">Udio u strukturi izvršenja </w:t>
            </w:r>
          </w:p>
        </w:tc>
      </w:tr>
      <w:tr w:rsidR="00660552" w:rsidRPr="00660552" w14:paraId="6844F702" w14:textId="77777777" w:rsidTr="00660552">
        <w:trPr>
          <w:trHeight w:val="300"/>
        </w:trPr>
        <w:tc>
          <w:tcPr>
            <w:tcW w:w="2733" w:type="dxa"/>
            <w:hideMark/>
          </w:tcPr>
          <w:p w14:paraId="46BC4629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UKUPNI PRIHODI</w:t>
            </w:r>
          </w:p>
        </w:tc>
        <w:tc>
          <w:tcPr>
            <w:tcW w:w="1386" w:type="dxa"/>
            <w:hideMark/>
          </w:tcPr>
          <w:p w14:paraId="3FDC605F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632.681,03</w:t>
            </w:r>
          </w:p>
        </w:tc>
        <w:tc>
          <w:tcPr>
            <w:tcW w:w="1394" w:type="dxa"/>
            <w:hideMark/>
          </w:tcPr>
          <w:p w14:paraId="0469EF50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1.803.500,00</w:t>
            </w:r>
          </w:p>
        </w:tc>
        <w:tc>
          <w:tcPr>
            <w:tcW w:w="1368" w:type="dxa"/>
            <w:hideMark/>
          </w:tcPr>
          <w:p w14:paraId="6F0E7885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871.886,35</w:t>
            </w:r>
          </w:p>
        </w:tc>
        <w:tc>
          <w:tcPr>
            <w:tcW w:w="1639" w:type="dxa"/>
            <w:hideMark/>
          </w:tcPr>
          <w:p w14:paraId="193289D1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138%</w:t>
            </w:r>
          </w:p>
        </w:tc>
        <w:tc>
          <w:tcPr>
            <w:tcW w:w="1198" w:type="dxa"/>
            <w:hideMark/>
          </w:tcPr>
          <w:p w14:paraId="42DDE85F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48%</w:t>
            </w:r>
          </w:p>
        </w:tc>
        <w:tc>
          <w:tcPr>
            <w:tcW w:w="1022" w:type="dxa"/>
            <w:hideMark/>
          </w:tcPr>
          <w:p w14:paraId="56286F5C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100%</w:t>
            </w:r>
          </w:p>
        </w:tc>
      </w:tr>
      <w:tr w:rsidR="00660552" w:rsidRPr="00660552" w14:paraId="5DF28F5F" w14:textId="77777777" w:rsidTr="00660552">
        <w:trPr>
          <w:trHeight w:val="420"/>
        </w:trPr>
        <w:tc>
          <w:tcPr>
            <w:tcW w:w="2733" w:type="dxa"/>
            <w:hideMark/>
          </w:tcPr>
          <w:p w14:paraId="38C4F8B8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6 Prihodi poslovanja</w:t>
            </w:r>
          </w:p>
        </w:tc>
        <w:tc>
          <w:tcPr>
            <w:tcW w:w="1386" w:type="dxa"/>
            <w:noWrap/>
            <w:hideMark/>
          </w:tcPr>
          <w:p w14:paraId="77868162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632.681,03</w:t>
            </w:r>
          </w:p>
        </w:tc>
        <w:tc>
          <w:tcPr>
            <w:tcW w:w="1394" w:type="dxa"/>
            <w:noWrap/>
            <w:hideMark/>
          </w:tcPr>
          <w:p w14:paraId="7E1E84EF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1.803.500,00</w:t>
            </w:r>
          </w:p>
        </w:tc>
        <w:tc>
          <w:tcPr>
            <w:tcW w:w="1368" w:type="dxa"/>
            <w:noWrap/>
            <w:hideMark/>
          </w:tcPr>
          <w:p w14:paraId="73DEBA3C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871.886,35</w:t>
            </w:r>
          </w:p>
        </w:tc>
        <w:tc>
          <w:tcPr>
            <w:tcW w:w="1639" w:type="dxa"/>
            <w:noWrap/>
            <w:hideMark/>
          </w:tcPr>
          <w:p w14:paraId="429B81EA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138%</w:t>
            </w:r>
          </w:p>
        </w:tc>
        <w:tc>
          <w:tcPr>
            <w:tcW w:w="1198" w:type="dxa"/>
            <w:noWrap/>
            <w:hideMark/>
          </w:tcPr>
          <w:p w14:paraId="62D3BA0F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48%</w:t>
            </w:r>
          </w:p>
        </w:tc>
        <w:tc>
          <w:tcPr>
            <w:tcW w:w="1022" w:type="dxa"/>
            <w:noWrap/>
            <w:hideMark/>
          </w:tcPr>
          <w:p w14:paraId="6F95B94C" w14:textId="77777777" w:rsidR="00660552" w:rsidRPr="00660552" w:rsidRDefault="00660552" w:rsidP="00660552">
            <w:pPr>
              <w:rPr>
                <w:b/>
                <w:bCs/>
              </w:rPr>
            </w:pPr>
            <w:r w:rsidRPr="00660552">
              <w:rPr>
                <w:b/>
                <w:bCs/>
              </w:rPr>
              <w:t>100%</w:t>
            </w:r>
          </w:p>
        </w:tc>
      </w:tr>
      <w:tr w:rsidR="00660552" w:rsidRPr="00660552" w14:paraId="4ACEE0A8" w14:textId="77777777" w:rsidTr="00660552">
        <w:trPr>
          <w:trHeight w:val="990"/>
        </w:trPr>
        <w:tc>
          <w:tcPr>
            <w:tcW w:w="2733" w:type="dxa"/>
            <w:hideMark/>
          </w:tcPr>
          <w:p w14:paraId="3D73059B" w14:textId="77777777" w:rsidR="00660552" w:rsidRPr="00660552" w:rsidRDefault="00660552" w:rsidP="00660552">
            <w:r w:rsidRPr="00660552">
              <w:t xml:space="preserve"> 63 Pomoći iz inozemstva i od subjekata unutar općeg proračuna</w:t>
            </w:r>
          </w:p>
        </w:tc>
        <w:tc>
          <w:tcPr>
            <w:tcW w:w="1386" w:type="dxa"/>
            <w:noWrap/>
            <w:hideMark/>
          </w:tcPr>
          <w:p w14:paraId="00AAD9D6" w14:textId="77777777" w:rsidR="00660552" w:rsidRPr="00660552" w:rsidRDefault="00660552" w:rsidP="00660552">
            <w:r w:rsidRPr="00660552">
              <w:t>122.614,69</w:t>
            </w:r>
          </w:p>
        </w:tc>
        <w:tc>
          <w:tcPr>
            <w:tcW w:w="1394" w:type="dxa"/>
            <w:noWrap/>
            <w:hideMark/>
          </w:tcPr>
          <w:p w14:paraId="3573A801" w14:textId="77777777" w:rsidR="00660552" w:rsidRPr="00660552" w:rsidRDefault="00660552" w:rsidP="00660552">
            <w:r w:rsidRPr="00660552">
              <w:t>163.700,00</w:t>
            </w:r>
          </w:p>
        </w:tc>
        <w:tc>
          <w:tcPr>
            <w:tcW w:w="1368" w:type="dxa"/>
            <w:noWrap/>
            <w:hideMark/>
          </w:tcPr>
          <w:p w14:paraId="31011039" w14:textId="77777777" w:rsidR="00660552" w:rsidRPr="00660552" w:rsidRDefault="00660552" w:rsidP="00660552">
            <w:r w:rsidRPr="00660552">
              <w:t>171.687,12</w:t>
            </w:r>
          </w:p>
        </w:tc>
        <w:tc>
          <w:tcPr>
            <w:tcW w:w="1639" w:type="dxa"/>
            <w:noWrap/>
            <w:hideMark/>
          </w:tcPr>
          <w:p w14:paraId="10D82231" w14:textId="77777777" w:rsidR="00660552" w:rsidRPr="00660552" w:rsidRDefault="00660552" w:rsidP="00660552">
            <w:r w:rsidRPr="00660552">
              <w:t>140%</w:t>
            </w:r>
          </w:p>
        </w:tc>
        <w:tc>
          <w:tcPr>
            <w:tcW w:w="1198" w:type="dxa"/>
            <w:noWrap/>
            <w:hideMark/>
          </w:tcPr>
          <w:p w14:paraId="4EA47037" w14:textId="77777777" w:rsidR="00660552" w:rsidRPr="00660552" w:rsidRDefault="00660552" w:rsidP="00660552">
            <w:r w:rsidRPr="00660552">
              <w:t>105%</w:t>
            </w:r>
          </w:p>
        </w:tc>
        <w:tc>
          <w:tcPr>
            <w:tcW w:w="1022" w:type="dxa"/>
            <w:noWrap/>
            <w:hideMark/>
          </w:tcPr>
          <w:p w14:paraId="1571D396" w14:textId="77777777" w:rsidR="00660552" w:rsidRPr="00660552" w:rsidRDefault="00660552" w:rsidP="00660552">
            <w:r w:rsidRPr="00660552">
              <w:t>20%</w:t>
            </w:r>
          </w:p>
        </w:tc>
      </w:tr>
      <w:tr w:rsidR="00660552" w:rsidRPr="00660552" w14:paraId="310A3FC3" w14:textId="77777777" w:rsidTr="00660552">
        <w:trPr>
          <w:trHeight w:val="600"/>
        </w:trPr>
        <w:tc>
          <w:tcPr>
            <w:tcW w:w="2733" w:type="dxa"/>
            <w:hideMark/>
          </w:tcPr>
          <w:p w14:paraId="7D8D6B96" w14:textId="77777777" w:rsidR="00660552" w:rsidRPr="00660552" w:rsidRDefault="00660552" w:rsidP="00660552">
            <w:r w:rsidRPr="00660552">
              <w:t>64Prihodi od financijske imovine</w:t>
            </w:r>
          </w:p>
        </w:tc>
        <w:tc>
          <w:tcPr>
            <w:tcW w:w="1386" w:type="dxa"/>
            <w:noWrap/>
            <w:hideMark/>
          </w:tcPr>
          <w:p w14:paraId="35656289" w14:textId="77777777" w:rsidR="00660552" w:rsidRPr="00660552" w:rsidRDefault="00660552" w:rsidP="00660552">
            <w:r w:rsidRPr="00660552">
              <w:t>0,00</w:t>
            </w:r>
          </w:p>
        </w:tc>
        <w:tc>
          <w:tcPr>
            <w:tcW w:w="1394" w:type="dxa"/>
            <w:noWrap/>
            <w:hideMark/>
          </w:tcPr>
          <w:p w14:paraId="0D820427" w14:textId="77777777" w:rsidR="00660552" w:rsidRPr="00660552" w:rsidRDefault="00660552" w:rsidP="00660552">
            <w:r w:rsidRPr="00660552">
              <w:t>50,00</w:t>
            </w:r>
          </w:p>
        </w:tc>
        <w:tc>
          <w:tcPr>
            <w:tcW w:w="1368" w:type="dxa"/>
            <w:noWrap/>
            <w:hideMark/>
          </w:tcPr>
          <w:p w14:paraId="4FE6129A" w14:textId="77777777" w:rsidR="00660552" w:rsidRPr="00660552" w:rsidRDefault="00660552" w:rsidP="00660552">
            <w:r w:rsidRPr="00660552">
              <w:t>0,00</w:t>
            </w:r>
          </w:p>
        </w:tc>
        <w:tc>
          <w:tcPr>
            <w:tcW w:w="1639" w:type="dxa"/>
            <w:noWrap/>
            <w:hideMark/>
          </w:tcPr>
          <w:p w14:paraId="48646DE5" w14:textId="77777777" w:rsidR="00660552" w:rsidRPr="00660552" w:rsidRDefault="00660552" w:rsidP="00660552">
            <w:r w:rsidRPr="00660552">
              <w:t>0%</w:t>
            </w:r>
          </w:p>
        </w:tc>
        <w:tc>
          <w:tcPr>
            <w:tcW w:w="1198" w:type="dxa"/>
            <w:noWrap/>
            <w:hideMark/>
          </w:tcPr>
          <w:p w14:paraId="4FD8BCC3" w14:textId="77777777" w:rsidR="00660552" w:rsidRPr="00660552" w:rsidRDefault="00660552" w:rsidP="00660552">
            <w:r w:rsidRPr="00660552">
              <w:t>0%</w:t>
            </w:r>
          </w:p>
        </w:tc>
        <w:tc>
          <w:tcPr>
            <w:tcW w:w="1022" w:type="dxa"/>
            <w:noWrap/>
            <w:hideMark/>
          </w:tcPr>
          <w:p w14:paraId="48CE651F" w14:textId="77777777" w:rsidR="00660552" w:rsidRPr="00660552" w:rsidRDefault="00660552" w:rsidP="00660552">
            <w:r w:rsidRPr="00660552">
              <w:t>0%</w:t>
            </w:r>
          </w:p>
        </w:tc>
      </w:tr>
      <w:tr w:rsidR="00660552" w:rsidRPr="00660552" w14:paraId="31B72D57" w14:textId="77777777" w:rsidTr="00660552">
        <w:trPr>
          <w:trHeight w:val="585"/>
        </w:trPr>
        <w:tc>
          <w:tcPr>
            <w:tcW w:w="2733" w:type="dxa"/>
            <w:hideMark/>
          </w:tcPr>
          <w:p w14:paraId="713CEC16" w14:textId="77777777" w:rsidR="00660552" w:rsidRPr="00660552" w:rsidRDefault="00660552" w:rsidP="00660552">
            <w:r w:rsidRPr="00660552">
              <w:t>66 Prihodi od prodaje proizvoda i robe, te pruženih usluga, prihodi od donacija te povrati po protestiranim jamstvima</w:t>
            </w:r>
          </w:p>
        </w:tc>
        <w:tc>
          <w:tcPr>
            <w:tcW w:w="1386" w:type="dxa"/>
            <w:noWrap/>
            <w:hideMark/>
          </w:tcPr>
          <w:p w14:paraId="4939F670" w14:textId="77777777" w:rsidR="00660552" w:rsidRPr="00660552" w:rsidRDefault="00660552" w:rsidP="00660552">
            <w:r w:rsidRPr="00660552">
              <w:t>99.448,98</w:t>
            </w:r>
          </w:p>
        </w:tc>
        <w:tc>
          <w:tcPr>
            <w:tcW w:w="1394" w:type="dxa"/>
            <w:noWrap/>
            <w:hideMark/>
          </w:tcPr>
          <w:p w14:paraId="4FAFF6A3" w14:textId="77777777" w:rsidR="00660552" w:rsidRPr="00660552" w:rsidRDefault="00660552" w:rsidP="00660552">
            <w:r w:rsidRPr="00660552">
              <w:t>185.000,00</w:t>
            </w:r>
          </w:p>
        </w:tc>
        <w:tc>
          <w:tcPr>
            <w:tcW w:w="1368" w:type="dxa"/>
            <w:noWrap/>
            <w:hideMark/>
          </w:tcPr>
          <w:p w14:paraId="2C959DCA" w14:textId="77777777" w:rsidR="00660552" w:rsidRPr="00660552" w:rsidRDefault="00660552" w:rsidP="00660552">
            <w:r w:rsidRPr="00660552">
              <w:t>135.366,29</w:t>
            </w:r>
          </w:p>
        </w:tc>
        <w:tc>
          <w:tcPr>
            <w:tcW w:w="1639" w:type="dxa"/>
            <w:noWrap/>
            <w:hideMark/>
          </w:tcPr>
          <w:p w14:paraId="02D3084E" w14:textId="77777777" w:rsidR="00660552" w:rsidRPr="00660552" w:rsidRDefault="00660552" w:rsidP="00660552">
            <w:r w:rsidRPr="00660552">
              <w:t>136%</w:t>
            </w:r>
          </w:p>
        </w:tc>
        <w:tc>
          <w:tcPr>
            <w:tcW w:w="1198" w:type="dxa"/>
            <w:noWrap/>
            <w:hideMark/>
          </w:tcPr>
          <w:p w14:paraId="74F25B78" w14:textId="77777777" w:rsidR="00660552" w:rsidRPr="00660552" w:rsidRDefault="00660552" w:rsidP="00660552">
            <w:r w:rsidRPr="00660552">
              <w:t>73%</w:t>
            </w:r>
          </w:p>
        </w:tc>
        <w:tc>
          <w:tcPr>
            <w:tcW w:w="1022" w:type="dxa"/>
            <w:noWrap/>
            <w:hideMark/>
          </w:tcPr>
          <w:p w14:paraId="10AC0136" w14:textId="32906C52" w:rsidR="00660552" w:rsidRPr="00660552" w:rsidRDefault="00660552" w:rsidP="00660552">
            <w:r w:rsidRPr="00660552">
              <w:t>1</w:t>
            </w:r>
            <w:r w:rsidR="005A6D1C">
              <w:t>5</w:t>
            </w:r>
            <w:r w:rsidRPr="00660552">
              <w:t>%</w:t>
            </w:r>
          </w:p>
        </w:tc>
      </w:tr>
      <w:tr w:rsidR="00660552" w:rsidRPr="00660552" w14:paraId="411A61A5" w14:textId="77777777" w:rsidTr="00660552">
        <w:trPr>
          <w:trHeight w:val="960"/>
        </w:trPr>
        <w:tc>
          <w:tcPr>
            <w:tcW w:w="2733" w:type="dxa"/>
            <w:hideMark/>
          </w:tcPr>
          <w:p w14:paraId="5B532956" w14:textId="77777777" w:rsidR="00660552" w:rsidRPr="00660552" w:rsidRDefault="00660552" w:rsidP="00660552">
            <w:r w:rsidRPr="00660552">
              <w:t>67 Prihodi iz nadležnog proračuna i od HZZO-a temeljem ugovornih obveza</w:t>
            </w:r>
          </w:p>
        </w:tc>
        <w:tc>
          <w:tcPr>
            <w:tcW w:w="1386" w:type="dxa"/>
            <w:noWrap/>
            <w:hideMark/>
          </w:tcPr>
          <w:p w14:paraId="2065B411" w14:textId="77777777" w:rsidR="00660552" w:rsidRPr="00660552" w:rsidRDefault="00660552" w:rsidP="00660552">
            <w:r w:rsidRPr="00660552">
              <w:t>409.941,42</w:t>
            </w:r>
          </w:p>
        </w:tc>
        <w:tc>
          <w:tcPr>
            <w:tcW w:w="1394" w:type="dxa"/>
            <w:noWrap/>
            <w:hideMark/>
          </w:tcPr>
          <w:p w14:paraId="78B9B242" w14:textId="77777777" w:rsidR="00660552" w:rsidRPr="00660552" w:rsidRDefault="00660552" w:rsidP="00660552">
            <w:r w:rsidRPr="00660552">
              <w:t>1.452.800,00</w:t>
            </w:r>
          </w:p>
        </w:tc>
        <w:tc>
          <w:tcPr>
            <w:tcW w:w="1368" w:type="dxa"/>
            <w:noWrap/>
            <w:hideMark/>
          </w:tcPr>
          <w:p w14:paraId="06F89620" w14:textId="77777777" w:rsidR="00660552" w:rsidRPr="00660552" w:rsidRDefault="00660552" w:rsidP="00660552">
            <w:r w:rsidRPr="00660552">
              <w:t>564.832,94</w:t>
            </w:r>
          </w:p>
        </w:tc>
        <w:tc>
          <w:tcPr>
            <w:tcW w:w="1639" w:type="dxa"/>
            <w:noWrap/>
            <w:hideMark/>
          </w:tcPr>
          <w:p w14:paraId="09A3FEC1" w14:textId="77777777" w:rsidR="00660552" w:rsidRPr="00660552" w:rsidRDefault="00660552" w:rsidP="00660552">
            <w:r w:rsidRPr="00660552">
              <w:t>138%</w:t>
            </w:r>
          </w:p>
        </w:tc>
        <w:tc>
          <w:tcPr>
            <w:tcW w:w="1198" w:type="dxa"/>
            <w:noWrap/>
            <w:hideMark/>
          </w:tcPr>
          <w:p w14:paraId="7370DD45" w14:textId="77777777" w:rsidR="00660552" w:rsidRPr="00660552" w:rsidRDefault="00660552" w:rsidP="00660552">
            <w:r w:rsidRPr="00660552">
              <w:t>39%</w:t>
            </w:r>
          </w:p>
        </w:tc>
        <w:tc>
          <w:tcPr>
            <w:tcW w:w="1022" w:type="dxa"/>
            <w:noWrap/>
            <w:hideMark/>
          </w:tcPr>
          <w:p w14:paraId="4BE591E2" w14:textId="77777777" w:rsidR="00660552" w:rsidRPr="00660552" w:rsidRDefault="00660552" w:rsidP="00660552">
            <w:r w:rsidRPr="00660552">
              <w:t>65%</w:t>
            </w:r>
          </w:p>
        </w:tc>
      </w:tr>
      <w:tr w:rsidR="00660552" w:rsidRPr="00660552" w14:paraId="2D0664F5" w14:textId="77777777" w:rsidTr="00660552">
        <w:trPr>
          <w:trHeight w:val="375"/>
        </w:trPr>
        <w:tc>
          <w:tcPr>
            <w:tcW w:w="2733" w:type="dxa"/>
            <w:hideMark/>
          </w:tcPr>
          <w:p w14:paraId="2C20C8EA" w14:textId="77777777" w:rsidR="00660552" w:rsidRPr="00660552" w:rsidRDefault="00660552" w:rsidP="00660552">
            <w:r w:rsidRPr="00660552">
              <w:t xml:space="preserve"> 68 Ostali prihodi</w:t>
            </w:r>
          </w:p>
        </w:tc>
        <w:tc>
          <w:tcPr>
            <w:tcW w:w="1386" w:type="dxa"/>
            <w:noWrap/>
            <w:hideMark/>
          </w:tcPr>
          <w:p w14:paraId="00C887E9" w14:textId="77777777" w:rsidR="00660552" w:rsidRPr="00660552" w:rsidRDefault="00660552" w:rsidP="00660552">
            <w:r w:rsidRPr="00660552">
              <w:t>675,94</w:t>
            </w:r>
          </w:p>
        </w:tc>
        <w:tc>
          <w:tcPr>
            <w:tcW w:w="1394" w:type="dxa"/>
            <w:noWrap/>
            <w:hideMark/>
          </w:tcPr>
          <w:p w14:paraId="2812B363" w14:textId="77777777" w:rsidR="00660552" w:rsidRPr="00660552" w:rsidRDefault="00660552" w:rsidP="00660552">
            <w:r w:rsidRPr="00660552">
              <w:t>1.950,00</w:t>
            </w:r>
          </w:p>
        </w:tc>
        <w:tc>
          <w:tcPr>
            <w:tcW w:w="1368" w:type="dxa"/>
            <w:noWrap/>
            <w:hideMark/>
          </w:tcPr>
          <w:p w14:paraId="7078AA37" w14:textId="77777777" w:rsidR="00660552" w:rsidRPr="00660552" w:rsidRDefault="00660552" w:rsidP="00660552">
            <w:r w:rsidRPr="00660552">
              <w:t>0,00</w:t>
            </w:r>
          </w:p>
        </w:tc>
        <w:tc>
          <w:tcPr>
            <w:tcW w:w="1639" w:type="dxa"/>
            <w:noWrap/>
            <w:hideMark/>
          </w:tcPr>
          <w:p w14:paraId="6026EFBC" w14:textId="77777777" w:rsidR="00660552" w:rsidRPr="00660552" w:rsidRDefault="00660552" w:rsidP="00660552">
            <w:r w:rsidRPr="00660552">
              <w:t>0%</w:t>
            </w:r>
          </w:p>
        </w:tc>
        <w:tc>
          <w:tcPr>
            <w:tcW w:w="1198" w:type="dxa"/>
            <w:noWrap/>
            <w:hideMark/>
          </w:tcPr>
          <w:p w14:paraId="50C7E92B" w14:textId="77777777" w:rsidR="00660552" w:rsidRPr="00660552" w:rsidRDefault="00660552" w:rsidP="00660552">
            <w:r w:rsidRPr="00660552">
              <w:t>0%</w:t>
            </w:r>
          </w:p>
        </w:tc>
        <w:tc>
          <w:tcPr>
            <w:tcW w:w="1022" w:type="dxa"/>
            <w:noWrap/>
            <w:hideMark/>
          </w:tcPr>
          <w:p w14:paraId="204909B7" w14:textId="77777777" w:rsidR="00660552" w:rsidRPr="00660552" w:rsidRDefault="00660552" w:rsidP="00660552">
            <w:r w:rsidRPr="00660552">
              <w:t>0%</w:t>
            </w:r>
          </w:p>
        </w:tc>
      </w:tr>
    </w:tbl>
    <w:p w14:paraId="2A336A7C" w14:textId="06AF0BCC" w:rsidR="00660552" w:rsidRDefault="00660552" w:rsidP="00D926F7">
      <w:r>
        <w:fldChar w:fldCharType="begin"/>
      </w:r>
      <w:r>
        <w:instrText xml:space="preserve"> LINK Excel.Sheet.12 "https://alphacapitalishr.sharepoint.com/sites/Racunovodstvo/Shared%20Documents/01%20Klijenti/PUČKO/12.%20IZVJEŠTAJI%20PUČKO/2024/PR-RAS%206-2024/izvještaj%20o%20izvršenju%20plana%206-2024/IZVJEŠTAJ%206-2024.xlsx" "List4!R1C1:R8C7" \a \f 5 \h  \* MERGEFORMAT </w:instrText>
      </w:r>
      <w:r>
        <w:fldChar w:fldCharType="separate"/>
      </w:r>
    </w:p>
    <w:p w14:paraId="65933FDB" w14:textId="51207EAA" w:rsidR="00C40897" w:rsidRPr="00FE5BA3" w:rsidRDefault="00660552" w:rsidP="00C40897">
      <w:r>
        <w:fldChar w:fldCharType="end"/>
      </w:r>
    </w:p>
    <w:p w14:paraId="33637AED" w14:textId="0AEC57D9" w:rsidR="00FE5BA3" w:rsidRPr="006000EF" w:rsidRDefault="00FE5BA3" w:rsidP="00C40897">
      <w:pPr>
        <w:autoSpaceDE w:val="0"/>
        <w:autoSpaceDN w:val="0"/>
        <w:adjustRightInd w:val="0"/>
        <w:ind w:firstLine="708"/>
        <w:jc w:val="both"/>
      </w:pPr>
      <w:r w:rsidRPr="006000EF">
        <w:t>Ukupni prihodi u prvom polugodištu 202</w:t>
      </w:r>
      <w:r w:rsidR="00C40897">
        <w:t>5</w:t>
      </w:r>
      <w:r w:rsidRPr="006000EF">
        <w:t xml:space="preserve">. godine </w:t>
      </w:r>
      <w:r>
        <w:t xml:space="preserve">veći </w:t>
      </w:r>
      <w:r w:rsidRPr="006000EF">
        <w:t xml:space="preserve">su za </w:t>
      </w:r>
      <w:r w:rsidR="00C40897">
        <w:t>38</w:t>
      </w:r>
      <w:r w:rsidRPr="006000EF">
        <w:t>% u odnosu na isto razdoblje 202</w:t>
      </w:r>
      <w:r w:rsidR="00C40897">
        <w:t>4</w:t>
      </w:r>
      <w:r w:rsidRPr="006000EF">
        <w:t>. godine, odnosno ostvareni su sa 4</w:t>
      </w:r>
      <w:r w:rsidR="00C40897">
        <w:t>8</w:t>
      </w:r>
      <w:r w:rsidRPr="006000EF">
        <w:t>% od planiranih proračunskih prihoda za 202</w:t>
      </w:r>
      <w:r w:rsidR="00C40897">
        <w:t>5</w:t>
      </w:r>
      <w:r w:rsidRPr="006000EF">
        <w:t>. godinu.</w:t>
      </w:r>
    </w:p>
    <w:p w14:paraId="0A6FA6A6" w14:textId="135A8F07" w:rsidR="00FE5BA3" w:rsidRPr="00BA4163" w:rsidRDefault="00FE5BA3" w:rsidP="00784CF4">
      <w:pPr>
        <w:autoSpaceDE w:val="0"/>
        <w:autoSpaceDN w:val="0"/>
        <w:adjustRightInd w:val="0"/>
        <w:ind w:firstLine="709"/>
        <w:jc w:val="both"/>
      </w:pPr>
      <w:r w:rsidRPr="00BA4163">
        <w:t xml:space="preserve">U strukturi ostvarenih ukupnih prihoda najveći udio imaju prihodi </w:t>
      </w:r>
      <w:r>
        <w:t>iz nadležnog proračuna sa</w:t>
      </w:r>
      <w:r w:rsidRPr="00BA4163">
        <w:t xml:space="preserve"> </w:t>
      </w:r>
      <w:r>
        <w:t>6</w:t>
      </w:r>
      <w:r w:rsidR="009A7BE3">
        <w:t>5</w:t>
      </w:r>
      <w:r w:rsidRPr="00BA4163">
        <w:t xml:space="preserve">%, zatim prihodi od </w:t>
      </w:r>
      <w:r>
        <w:t xml:space="preserve">pomoći sa </w:t>
      </w:r>
      <w:r w:rsidR="005A6D1C">
        <w:t>20</w:t>
      </w:r>
      <w:r w:rsidRPr="00BA4163">
        <w:t xml:space="preserve">%, </w:t>
      </w:r>
      <w:r>
        <w:t>te vlastiti prihodi sa 1</w:t>
      </w:r>
      <w:r w:rsidR="005A6D1C">
        <w:t>5</w:t>
      </w:r>
      <w:r>
        <w:t>% udjela u ukupn</w:t>
      </w:r>
      <w:r w:rsidR="00245E3F">
        <w:t xml:space="preserve">o ostvarenim </w:t>
      </w:r>
      <w:r>
        <w:t xml:space="preserve"> prihodima</w:t>
      </w:r>
      <w:r w:rsidR="005A6D1C">
        <w:t>.</w:t>
      </w:r>
    </w:p>
    <w:p w14:paraId="50DED7F0" w14:textId="7858EBE5" w:rsidR="00D926F7" w:rsidRPr="00FE5BA3" w:rsidRDefault="00D926F7" w:rsidP="00784CF4">
      <w:pPr>
        <w:jc w:val="both"/>
      </w:pPr>
    </w:p>
    <w:p w14:paraId="348CF9C7" w14:textId="645D3519" w:rsidR="00FC21FD" w:rsidRPr="00764D18" w:rsidRDefault="00FC21FD" w:rsidP="00784CF4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764D18">
        <w:rPr>
          <w:b/>
          <w:bCs/>
        </w:rPr>
        <w:t>Prihodi poslovanja</w:t>
      </w:r>
    </w:p>
    <w:p w14:paraId="3CBAC67B" w14:textId="0B0CD9FF" w:rsidR="00C91993" w:rsidRPr="00967F06" w:rsidRDefault="00C91993" w:rsidP="001464DD">
      <w:pPr>
        <w:jc w:val="both"/>
        <w:rPr>
          <w:b/>
          <w:bCs/>
        </w:rPr>
      </w:pPr>
      <w:r>
        <w:t xml:space="preserve">Prihodi poslovanja (razred 6 – prihodi iz nadležnog proračuna, prihodi od pružanja usluga i prodaje proizvoda, prihodi od pomoći iz proračuna koji </w:t>
      </w:r>
      <w:r w:rsidR="001464DD">
        <w:t xml:space="preserve">im </w:t>
      </w:r>
      <w:r>
        <w:t>nije nadležan, prihodi od prijenosa temeljem EU sredstava, t</w:t>
      </w:r>
      <w:r w:rsidR="00F67E26">
        <w:t>e donacije – tekuće i kapitalne</w:t>
      </w:r>
      <w:r>
        <w:t xml:space="preserve">) </w:t>
      </w:r>
      <w:r w:rsidR="00FE5BA3">
        <w:t xml:space="preserve">ostvareni su u iznosu od  </w:t>
      </w:r>
      <w:r w:rsidR="003D2DF5">
        <w:t>871.886,35</w:t>
      </w:r>
      <w:r w:rsidR="00FE5BA3">
        <w:t xml:space="preserve"> EUR ili 4</w:t>
      </w:r>
      <w:r w:rsidR="003D2DF5">
        <w:t>8</w:t>
      </w:r>
      <w:r w:rsidR="00FE5BA3">
        <w:t>% godišnjeg plana za 202</w:t>
      </w:r>
      <w:r w:rsidR="003D2DF5">
        <w:t>5</w:t>
      </w:r>
      <w:r w:rsidR="00FE5BA3">
        <w:t>.,  a veći su u odnosu na prihode</w:t>
      </w:r>
      <w:r w:rsidR="002C36F3">
        <w:t xml:space="preserve"> ostvarene</w:t>
      </w:r>
      <w:r w:rsidR="00FE5BA3">
        <w:t xml:space="preserve"> u  istom razdoblju 202</w:t>
      </w:r>
      <w:r w:rsidR="003D2DF5">
        <w:t>4</w:t>
      </w:r>
      <w:r w:rsidR="00FE5BA3">
        <w:t xml:space="preserve">., godine </w:t>
      </w:r>
      <w:r w:rsidR="002C36F3">
        <w:t xml:space="preserve">za </w:t>
      </w:r>
      <w:r w:rsidR="003D2DF5">
        <w:t>38</w:t>
      </w:r>
      <w:r w:rsidR="002C36F3">
        <w:t xml:space="preserve">%, što </w:t>
      </w:r>
      <w:r w:rsidR="002C36F3">
        <w:lastRenderedPageBreak/>
        <w:t>se najvećim dijelom odnosi na povećanje</w:t>
      </w:r>
      <w:r w:rsidR="005564B8">
        <w:t xml:space="preserve"> prihoda iz nadležnog proračuna, te </w:t>
      </w:r>
      <w:r w:rsidR="002C36F3">
        <w:t xml:space="preserve"> vlastitih prihoda i prihoda od pomoći.</w:t>
      </w:r>
    </w:p>
    <w:p w14:paraId="1EC926DD" w14:textId="0B91DAE2" w:rsidR="000A0427" w:rsidRDefault="00324386" w:rsidP="00D52882">
      <w:pPr>
        <w:jc w:val="both"/>
      </w:pPr>
      <w:r>
        <w:tab/>
      </w:r>
    </w:p>
    <w:p w14:paraId="2DFEC64E" w14:textId="56E3DB5C" w:rsidR="001464DD" w:rsidRDefault="001464DD" w:rsidP="001464DD">
      <w:pPr>
        <w:jc w:val="both"/>
      </w:pPr>
      <w:r>
        <w:tab/>
      </w:r>
      <w:r w:rsidRPr="002917C7">
        <w:rPr>
          <w:b/>
          <w:bCs/>
        </w:rPr>
        <w:t xml:space="preserve">Prihodi od pomoći </w:t>
      </w:r>
      <w:r w:rsidR="00B83623" w:rsidRPr="002917C7">
        <w:rPr>
          <w:b/>
          <w:bCs/>
        </w:rPr>
        <w:t xml:space="preserve">63 </w:t>
      </w:r>
      <w:r w:rsidR="004D678E" w:rsidRPr="002917C7">
        <w:rPr>
          <w:b/>
          <w:bCs/>
        </w:rPr>
        <w:t xml:space="preserve"> </w:t>
      </w:r>
      <w:r w:rsidR="002C36F3">
        <w:rPr>
          <w:b/>
          <w:bCs/>
        </w:rPr>
        <w:t xml:space="preserve">ostvareni su u iznosu od </w:t>
      </w:r>
      <w:r w:rsidR="000A7F09">
        <w:rPr>
          <w:b/>
          <w:bCs/>
        </w:rPr>
        <w:t>171.687,12</w:t>
      </w:r>
      <w:r w:rsidR="002C36F3">
        <w:rPr>
          <w:b/>
          <w:bCs/>
        </w:rPr>
        <w:t xml:space="preserve"> EUR </w:t>
      </w:r>
      <w:r w:rsidR="002C36F3">
        <w:t xml:space="preserve">što čini indeks izvršenja od </w:t>
      </w:r>
      <w:r w:rsidR="00CF716D">
        <w:t>105</w:t>
      </w:r>
      <w:r w:rsidR="002C36F3">
        <w:t xml:space="preserve">% u odnosu na plan, a veći su za </w:t>
      </w:r>
      <w:r w:rsidR="00CF716D">
        <w:t>40</w:t>
      </w:r>
      <w:r w:rsidR="002C36F3">
        <w:t>% u donosu na ostvarene istovrsne prihode u istom razdoblju 202</w:t>
      </w:r>
      <w:r w:rsidR="00CF716D">
        <w:t>4</w:t>
      </w:r>
      <w:r w:rsidR="002C36F3">
        <w:t>. godine</w:t>
      </w:r>
      <w:r w:rsidR="002C36F3">
        <w:rPr>
          <w:b/>
          <w:bCs/>
        </w:rPr>
        <w:t xml:space="preserve">, </w:t>
      </w:r>
      <w:r w:rsidR="002C36F3">
        <w:t xml:space="preserve">a odnose se na </w:t>
      </w:r>
    </w:p>
    <w:p w14:paraId="16AF4672" w14:textId="312D2EF8" w:rsidR="006D4A1D" w:rsidRPr="002C36F3" w:rsidRDefault="006D4A1D" w:rsidP="001464DD">
      <w:pPr>
        <w:jc w:val="both"/>
      </w:pPr>
      <w:r>
        <w:tab/>
      </w:r>
      <w:r w:rsidRPr="006D4A1D">
        <w:rPr>
          <w:b/>
          <w:bCs/>
        </w:rPr>
        <w:t>6341</w:t>
      </w:r>
      <w:r>
        <w:t xml:space="preserve"> -  Tekuće pomoći od HZZO-a za vaučere za obrazovanje i izvršeni su u iznosu od </w:t>
      </w:r>
      <w:r w:rsidR="00337D1D">
        <w:t>52</w:t>
      </w:r>
      <w:r w:rsidR="00DF29B8">
        <w:t>.</w:t>
      </w:r>
      <w:r w:rsidR="00337D1D">
        <w:t>117,12</w:t>
      </w:r>
      <w:r>
        <w:t xml:space="preserve"> </w:t>
      </w:r>
      <w:r w:rsidR="00475495">
        <w:t xml:space="preserve">EUR </w:t>
      </w:r>
      <w:r>
        <w:t xml:space="preserve">, što predstavlja izvršenje od </w:t>
      </w:r>
      <w:r w:rsidR="00337D1D">
        <w:t>108,58</w:t>
      </w:r>
      <w:r>
        <w:t>% u odnosu na plan</w:t>
      </w:r>
    </w:p>
    <w:p w14:paraId="332C58BB" w14:textId="135E9E83" w:rsidR="00B83623" w:rsidRDefault="00B83623" w:rsidP="00D52882">
      <w:pPr>
        <w:ind w:firstLine="708"/>
        <w:jc w:val="both"/>
        <w:rPr>
          <w:color w:val="000000" w:themeColor="text1"/>
        </w:rPr>
      </w:pPr>
      <w:r w:rsidRPr="00EE743B">
        <w:rPr>
          <w:b/>
          <w:bCs/>
        </w:rPr>
        <w:t>6361</w:t>
      </w:r>
      <w:r>
        <w:t xml:space="preserve"> –</w:t>
      </w:r>
      <w:r w:rsidR="00F67E26">
        <w:t xml:space="preserve"> </w:t>
      </w:r>
      <w:r>
        <w:t xml:space="preserve">prihodi od Ministarstva kulture, Zagrebačke županije, HZZO-a, HAV-ca kojima se financiraju projekti </w:t>
      </w:r>
      <w:r w:rsidR="00F67E26">
        <w:rPr>
          <w:color w:val="000000" w:themeColor="text1"/>
        </w:rPr>
        <w:t>Samob</w:t>
      </w:r>
      <w:r w:rsidRPr="00F67E26">
        <w:rPr>
          <w:color w:val="000000" w:themeColor="text1"/>
        </w:rPr>
        <w:t>o</w:t>
      </w:r>
      <w:r w:rsidR="00F67E26">
        <w:rPr>
          <w:color w:val="000000" w:themeColor="text1"/>
        </w:rPr>
        <w:t>rska glazbena jesen, programi u Galeriji Prica, programi Centra za mlade Bunker, Posebni programi (Vrazova Ljubica, Dječji svijet nedjeljom u 5, Amatersko kazalište PAX), Kino programi te program Vaučera u cjeloživotnom obrazovanju</w:t>
      </w:r>
      <w:r w:rsidR="002C36F3">
        <w:rPr>
          <w:color w:val="000000" w:themeColor="text1"/>
        </w:rPr>
        <w:t xml:space="preserve">, koji su izvršeni u iznosu od </w:t>
      </w:r>
      <w:r w:rsidR="00F7066D">
        <w:rPr>
          <w:color w:val="000000" w:themeColor="text1"/>
        </w:rPr>
        <w:t>87.306,00</w:t>
      </w:r>
      <w:r w:rsidR="00C15755">
        <w:rPr>
          <w:color w:val="000000" w:themeColor="text1"/>
        </w:rPr>
        <w:t xml:space="preserve"> EUR</w:t>
      </w:r>
    </w:p>
    <w:p w14:paraId="07D68FC2" w14:textId="0CCCCE34" w:rsidR="00F7066D" w:rsidRPr="00F67E26" w:rsidRDefault="00F7066D" w:rsidP="00D52882">
      <w:pPr>
        <w:ind w:firstLine="708"/>
        <w:jc w:val="both"/>
        <w:rPr>
          <w:color w:val="000000" w:themeColor="text1"/>
        </w:rPr>
      </w:pPr>
      <w:r w:rsidRPr="000D4DAA">
        <w:rPr>
          <w:b/>
          <w:bCs/>
          <w:color w:val="000000" w:themeColor="text1"/>
        </w:rPr>
        <w:t>6362</w:t>
      </w:r>
      <w:r>
        <w:rPr>
          <w:color w:val="000000" w:themeColor="text1"/>
        </w:rPr>
        <w:t xml:space="preserve"> </w:t>
      </w:r>
      <w:r w:rsidR="004D3F5B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D3F5B">
        <w:rPr>
          <w:color w:val="000000" w:themeColor="text1"/>
        </w:rPr>
        <w:t xml:space="preserve">Kapitalne pomoći – ostvareni su iznosu od 6.000,00 EUR </w:t>
      </w:r>
    </w:p>
    <w:p w14:paraId="5C1D3220" w14:textId="78320C7E" w:rsidR="006D4A1D" w:rsidRPr="00522E5A" w:rsidRDefault="00B83623" w:rsidP="00522E5A">
      <w:pPr>
        <w:ind w:firstLine="705"/>
        <w:jc w:val="both"/>
        <w:rPr>
          <w:rFonts w:ascii="Calibri" w:eastAsia="Times New Roman" w:hAnsi="Calibri" w:cs="Calibri"/>
          <w:lang w:eastAsia="hr-HR"/>
        </w:rPr>
      </w:pPr>
      <w:r w:rsidRPr="00EE743B">
        <w:rPr>
          <w:b/>
          <w:bCs/>
        </w:rPr>
        <w:t>6381</w:t>
      </w:r>
      <w:r>
        <w:t xml:space="preserve"> </w:t>
      </w:r>
      <w:r w:rsidR="004D678E">
        <w:t>–</w:t>
      </w:r>
      <w:r>
        <w:t xml:space="preserve"> </w:t>
      </w:r>
      <w:r w:rsidR="004D678E">
        <w:t xml:space="preserve">prihodi od pomoći temeljem prijenosa EU sredstva odnose se na prihode </w:t>
      </w:r>
      <w:r w:rsidR="009A3F7A">
        <w:t>od Agencije za mobil</w:t>
      </w:r>
      <w:r w:rsidR="002917C7">
        <w:t>no</w:t>
      </w:r>
      <w:r w:rsidR="009A3F7A">
        <w:t>s</w:t>
      </w:r>
      <w:r w:rsidR="002917C7">
        <w:t xml:space="preserve">t </w:t>
      </w:r>
      <w:r w:rsidR="004D678E">
        <w:t>za provedbu projekata Erasmus</w:t>
      </w:r>
      <w:r w:rsidR="009A3F7A">
        <w:t>+ za</w:t>
      </w:r>
      <w:r w:rsidR="004D678E">
        <w:t xml:space="preserve"> obrazovanje</w:t>
      </w:r>
      <w:r w:rsidR="009A3F7A">
        <w:t xml:space="preserve"> odraslih</w:t>
      </w:r>
      <w:r w:rsidR="00C15755">
        <w:t>.</w:t>
      </w:r>
      <w:r w:rsidR="004D678E">
        <w:t xml:space="preserve"> </w:t>
      </w:r>
      <w:r w:rsidR="006D4A1D">
        <w:t xml:space="preserve">Ovi prihodi izvršeni su u iznosu od </w:t>
      </w:r>
      <w:r w:rsidR="00F7066D">
        <w:rPr>
          <w:rFonts w:ascii="Calibri" w:eastAsia="Times New Roman" w:hAnsi="Calibri" w:cs="Calibri"/>
          <w:lang w:eastAsia="hr-HR"/>
        </w:rPr>
        <w:t xml:space="preserve">26.264 </w:t>
      </w:r>
      <w:r w:rsidR="00C15755">
        <w:rPr>
          <w:rFonts w:ascii="Calibri" w:eastAsia="Times New Roman" w:hAnsi="Calibri" w:cs="Calibri"/>
          <w:lang w:eastAsia="hr-HR"/>
        </w:rPr>
        <w:t>EUR</w:t>
      </w:r>
      <w:r w:rsidR="006D4A1D">
        <w:rPr>
          <w:rFonts w:ascii="Calibri" w:eastAsia="Times New Roman" w:hAnsi="Calibri" w:cs="Calibri"/>
          <w:lang w:eastAsia="hr-HR"/>
        </w:rPr>
        <w:t>.</w:t>
      </w:r>
    </w:p>
    <w:p w14:paraId="1EB575D4" w14:textId="77E70B0B" w:rsidR="00D52882" w:rsidRDefault="00D52882" w:rsidP="00D52882">
      <w:pPr>
        <w:ind w:firstLine="705"/>
        <w:jc w:val="both"/>
      </w:pPr>
      <w:r w:rsidRPr="00764D18">
        <w:rPr>
          <w:b/>
          <w:bCs/>
        </w:rPr>
        <w:t>Prihod od financijske imovine 64</w:t>
      </w:r>
      <w:r>
        <w:t>– odnosi se na prihode od kamata na sredstva na žiro-računu</w:t>
      </w:r>
      <w:r w:rsidR="006D4A1D">
        <w:t xml:space="preserve"> a do 30.06.202</w:t>
      </w:r>
      <w:r w:rsidR="00F7066D">
        <w:t>5</w:t>
      </w:r>
      <w:r w:rsidR="006D4A1D">
        <w:t>. nisu realizirani prihodi po ovoj osnovi</w:t>
      </w:r>
    </w:p>
    <w:p w14:paraId="6BB96692" w14:textId="70BBCA8F" w:rsidR="006D4A1D" w:rsidRPr="006D4A1D" w:rsidRDefault="004D678E" w:rsidP="006D4A1D">
      <w:pPr>
        <w:jc w:val="both"/>
        <w:rPr>
          <w:rFonts w:ascii="Calibri" w:eastAsia="Times New Roman" w:hAnsi="Calibri" w:cs="Calibri"/>
          <w:lang w:eastAsia="hr-HR"/>
        </w:rPr>
      </w:pPr>
      <w:r w:rsidRPr="002917C7">
        <w:rPr>
          <w:b/>
          <w:bCs/>
        </w:rPr>
        <w:t>Prihodi od pružan</w:t>
      </w:r>
      <w:r w:rsidR="00FF2CA2">
        <w:rPr>
          <w:b/>
          <w:bCs/>
        </w:rPr>
        <w:t xml:space="preserve">ja usluga i prodaje proizvoda </w:t>
      </w:r>
      <w:r w:rsidRPr="002917C7">
        <w:rPr>
          <w:b/>
          <w:bCs/>
        </w:rPr>
        <w:t>66</w:t>
      </w:r>
      <w:r w:rsidR="00FF2CA2">
        <w:t xml:space="preserve"> – </w:t>
      </w:r>
      <w:r w:rsidR="006D4A1D" w:rsidRPr="006D4A1D">
        <w:rPr>
          <w:b/>
          <w:bCs/>
        </w:rPr>
        <w:t>ostvareni su u iznosu od</w:t>
      </w:r>
      <w:r w:rsidR="006D4A1D">
        <w:t xml:space="preserve"> </w:t>
      </w:r>
      <w:r w:rsidR="00B649F0">
        <w:rPr>
          <w:rFonts w:ascii="Calibri" w:eastAsia="Times New Roman" w:hAnsi="Calibri" w:cs="Calibri"/>
          <w:b/>
          <w:bCs/>
          <w:lang w:eastAsia="hr-HR"/>
        </w:rPr>
        <w:t xml:space="preserve">135.366,29 </w:t>
      </w:r>
      <w:r w:rsidR="009C7712">
        <w:rPr>
          <w:rFonts w:ascii="Calibri" w:eastAsia="Times New Roman" w:hAnsi="Calibri" w:cs="Calibri"/>
          <w:b/>
          <w:bCs/>
          <w:lang w:eastAsia="hr-HR"/>
        </w:rPr>
        <w:t>EUR</w:t>
      </w:r>
      <w:r w:rsidR="006D4A1D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6D4A1D">
        <w:rPr>
          <w:rFonts w:ascii="Calibri" w:eastAsia="Times New Roman" w:hAnsi="Calibri" w:cs="Calibri"/>
          <w:lang w:eastAsia="hr-HR"/>
        </w:rPr>
        <w:t xml:space="preserve">što predstavlja izvršenje od </w:t>
      </w:r>
      <w:r w:rsidR="00B649F0">
        <w:rPr>
          <w:rFonts w:ascii="Calibri" w:eastAsia="Times New Roman" w:hAnsi="Calibri" w:cs="Calibri"/>
          <w:lang w:eastAsia="hr-HR"/>
        </w:rPr>
        <w:t>73</w:t>
      </w:r>
      <w:r w:rsidR="006D4A1D">
        <w:rPr>
          <w:rFonts w:ascii="Calibri" w:eastAsia="Times New Roman" w:hAnsi="Calibri" w:cs="Calibri"/>
          <w:lang w:eastAsia="hr-HR"/>
        </w:rPr>
        <w:t xml:space="preserve">% u odnosu na plan, te predstavlja povećanje u odnosu na isto razdoblje prošle godine od </w:t>
      </w:r>
      <w:r w:rsidR="00B649F0">
        <w:rPr>
          <w:rFonts w:ascii="Calibri" w:eastAsia="Times New Roman" w:hAnsi="Calibri" w:cs="Calibri"/>
          <w:lang w:eastAsia="hr-HR"/>
        </w:rPr>
        <w:t>36</w:t>
      </w:r>
      <w:r w:rsidR="006D4A1D">
        <w:rPr>
          <w:rFonts w:ascii="Calibri" w:eastAsia="Times New Roman" w:hAnsi="Calibri" w:cs="Calibri"/>
          <w:lang w:eastAsia="hr-HR"/>
        </w:rPr>
        <w:t>%, a udio u ukupnim prihodima je 1</w:t>
      </w:r>
      <w:r w:rsidR="00B649F0">
        <w:rPr>
          <w:rFonts w:ascii="Calibri" w:eastAsia="Times New Roman" w:hAnsi="Calibri" w:cs="Calibri"/>
          <w:lang w:eastAsia="hr-HR"/>
        </w:rPr>
        <w:t>5</w:t>
      </w:r>
      <w:r w:rsidR="006D4A1D">
        <w:rPr>
          <w:rFonts w:ascii="Calibri" w:eastAsia="Times New Roman" w:hAnsi="Calibri" w:cs="Calibri"/>
          <w:lang w:eastAsia="hr-HR"/>
        </w:rPr>
        <w:t>%</w:t>
      </w:r>
    </w:p>
    <w:p w14:paraId="6810674A" w14:textId="0C12290D" w:rsidR="00841F7C" w:rsidRPr="00522E5A" w:rsidRDefault="006D4A1D" w:rsidP="00841F7C">
      <w:pPr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6D4A1D">
        <w:rPr>
          <w:b/>
          <w:bCs/>
        </w:rPr>
        <w:t xml:space="preserve"> </w:t>
      </w:r>
      <w:r>
        <w:rPr>
          <w:b/>
          <w:bCs/>
        </w:rPr>
        <w:tab/>
      </w:r>
      <w:r w:rsidRPr="006D4A1D">
        <w:rPr>
          <w:b/>
          <w:bCs/>
        </w:rPr>
        <w:t>6615</w:t>
      </w:r>
      <w:r>
        <w:t xml:space="preserve"> - </w:t>
      </w:r>
      <w:r w:rsidR="009A3F7A">
        <w:t>odnose s</w:t>
      </w:r>
      <w:r w:rsidR="004D678E">
        <w:t xml:space="preserve">e na prihode koje Pučko otvoreno učilište ostvaruje pružanjem različitih </w:t>
      </w:r>
      <w:r w:rsidR="009A3F7A">
        <w:t>obrazovnih programa (</w:t>
      </w:r>
      <w:r w:rsidR="004D678E">
        <w:t>tečajeva, edukacija, plesne i dramske radio</w:t>
      </w:r>
      <w:r w:rsidR="009A3F7A">
        <w:t>nice), iznajmljivanjem prostora, prodanim ulaznicama od kazališnih predstava i koncerata, a</w:t>
      </w:r>
      <w:r w:rsidR="004D678E">
        <w:t xml:space="preserve"> najvećim dijelom vlastiti prihod se ostvaruje od </w:t>
      </w:r>
      <w:r w:rsidR="007200E4">
        <w:t>kino prikazivačke</w:t>
      </w:r>
      <w:r w:rsidR="004D678E">
        <w:t xml:space="preserve"> djelatnosti</w:t>
      </w:r>
      <w:r w:rsidR="002917C7">
        <w:t xml:space="preserve">. Vlastiti prihod se koristi za financiranje </w:t>
      </w:r>
      <w:r w:rsidR="009A3F7A">
        <w:t>svih programa</w:t>
      </w:r>
      <w:r w:rsidR="002917C7">
        <w:t xml:space="preserve"> POU Samobor</w:t>
      </w:r>
      <w:r w:rsidR="009A3F7A">
        <w:t xml:space="preserve"> (Samoborska glazbena jesen, Galerija Prica, Centar za mlade Bunker, Posebni programi, Kinoprikazivaštvo, obrazovanje), kao i za redovnu djelatnost (energija, tekuće i investicijsko održavanja, komunalne usl</w:t>
      </w:r>
      <w:r w:rsidR="00FF2CA2">
        <w:t>uge, zdravstvene usluge, premije</w:t>
      </w:r>
      <w:r w:rsidR="009A3F7A">
        <w:t xml:space="preserve"> osiguranja i sl.) i nabavu opreme</w:t>
      </w:r>
      <w:r>
        <w:t xml:space="preserve"> koji su izvršeni u iznosu od </w:t>
      </w:r>
      <w:r w:rsidR="007E5D41">
        <w:rPr>
          <w:rFonts w:ascii="Calibri" w:eastAsia="Times New Roman" w:hAnsi="Calibri" w:cs="Calibri"/>
          <w:b/>
          <w:bCs/>
          <w:lang w:eastAsia="hr-HR"/>
        </w:rPr>
        <w:t>127.231,62</w:t>
      </w:r>
      <w:r w:rsidR="00E24899">
        <w:rPr>
          <w:rFonts w:ascii="Calibri" w:eastAsia="Times New Roman" w:hAnsi="Calibri" w:cs="Calibri"/>
          <w:b/>
          <w:bCs/>
          <w:lang w:eastAsia="hr-HR"/>
        </w:rPr>
        <w:t xml:space="preserve"> EUR</w:t>
      </w:r>
    </w:p>
    <w:p w14:paraId="30CD33AD" w14:textId="7282359D" w:rsidR="002917C7" w:rsidRDefault="002917C7" w:rsidP="002917C7">
      <w:pPr>
        <w:ind w:firstLine="705"/>
        <w:jc w:val="both"/>
      </w:pPr>
      <w:r w:rsidRPr="002917C7">
        <w:rPr>
          <w:b/>
          <w:bCs/>
        </w:rPr>
        <w:t>663</w:t>
      </w:r>
      <w:r w:rsidR="00522E5A">
        <w:rPr>
          <w:b/>
          <w:bCs/>
        </w:rPr>
        <w:t>1</w:t>
      </w:r>
      <w:r>
        <w:t xml:space="preserve"> – </w:t>
      </w:r>
      <w:r w:rsidR="00522E5A">
        <w:t xml:space="preserve"> prihodi od donacija </w:t>
      </w:r>
      <w:r w:rsidR="00E24899">
        <w:t>-</w:t>
      </w:r>
      <w:r w:rsidR="007E5D41">
        <w:t xml:space="preserve">realizirani su u iznosu od </w:t>
      </w:r>
      <w:r w:rsidR="000D4DAA">
        <w:t>4.634,67 EUR</w:t>
      </w:r>
    </w:p>
    <w:p w14:paraId="739FCD7F" w14:textId="6958500C" w:rsidR="000D4DAA" w:rsidRDefault="000D4DAA" w:rsidP="002917C7">
      <w:pPr>
        <w:ind w:firstLine="705"/>
        <w:jc w:val="both"/>
      </w:pPr>
      <w:r w:rsidRPr="000D4DAA">
        <w:rPr>
          <w:b/>
          <w:bCs/>
        </w:rPr>
        <w:t>6632</w:t>
      </w:r>
      <w:r>
        <w:t xml:space="preserve"> – Kapitalne donacije realizirane su u iznosu od 3.500,00 EUR </w:t>
      </w:r>
    </w:p>
    <w:p w14:paraId="4403721E" w14:textId="487418DB" w:rsidR="00522E5A" w:rsidRDefault="00D52882" w:rsidP="00D52882">
      <w:pPr>
        <w:ind w:firstLine="705"/>
        <w:jc w:val="both"/>
      </w:pPr>
      <w:r w:rsidRPr="002917C7">
        <w:rPr>
          <w:b/>
          <w:bCs/>
        </w:rPr>
        <w:t>Prihodi iz nadležnog proračuna – opći prihodi i primici  67</w:t>
      </w:r>
      <w:r>
        <w:t xml:space="preserve"> </w:t>
      </w:r>
      <w:r w:rsidR="00522E5A" w:rsidRPr="00522E5A">
        <w:rPr>
          <w:b/>
          <w:bCs/>
        </w:rPr>
        <w:t xml:space="preserve">izvršeni su u iznosu od </w:t>
      </w:r>
      <w:r w:rsidR="000D4DAA">
        <w:rPr>
          <w:b/>
          <w:bCs/>
        </w:rPr>
        <w:t xml:space="preserve">564.832,94 </w:t>
      </w:r>
      <w:r w:rsidR="00E24899">
        <w:rPr>
          <w:b/>
          <w:bCs/>
        </w:rPr>
        <w:t xml:space="preserve">EUR </w:t>
      </w:r>
      <w:r>
        <w:t>,</w:t>
      </w:r>
      <w:r w:rsidR="00522E5A">
        <w:t xml:space="preserve">  što predstavlja izvršenje od </w:t>
      </w:r>
      <w:r w:rsidR="000D4DAA">
        <w:t>39</w:t>
      </w:r>
      <w:r w:rsidR="00522E5A">
        <w:t xml:space="preserve">% u odnosu na plan, te povećanje za </w:t>
      </w:r>
      <w:r w:rsidR="000D4DAA">
        <w:t>38</w:t>
      </w:r>
      <w:r w:rsidR="00522E5A">
        <w:t>% u odnosu na isto razdoblje prošle godine, dok u ukupnim prihodima sudjeluje sa 6</w:t>
      </w:r>
      <w:r w:rsidR="00E24899">
        <w:t>5</w:t>
      </w:r>
      <w:r w:rsidR="00522E5A">
        <w:t xml:space="preserve">% </w:t>
      </w:r>
    </w:p>
    <w:p w14:paraId="0D876F68" w14:textId="45B4A77E" w:rsidR="00522E5A" w:rsidRDefault="00522E5A" w:rsidP="00522E5A">
      <w:pPr>
        <w:ind w:firstLine="705"/>
        <w:jc w:val="both"/>
      </w:pPr>
      <w:r w:rsidRPr="00522E5A">
        <w:rPr>
          <w:b/>
          <w:bCs/>
        </w:rPr>
        <w:t xml:space="preserve"> 6711</w:t>
      </w:r>
      <w:r>
        <w:t xml:space="preserve"> - </w:t>
      </w:r>
      <w:r w:rsidR="00D52882">
        <w:t xml:space="preserve">a odnose se na prihode za financiranje rashoda poslovanja 6711 u iznosu od </w:t>
      </w:r>
      <w:r w:rsidR="000D7F13">
        <w:rPr>
          <w:rFonts w:ascii="Calibri" w:eastAsia="Times New Roman" w:hAnsi="Calibri" w:cs="Calibri"/>
          <w:lang w:eastAsia="hr-HR"/>
        </w:rPr>
        <w:t xml:space="preserve">531.965,34 </w:t>
      </w:r>
      <w:r w:rsidR="00CF00D6">
        <w:rPr>
          <w:rFonts w:ascii="Calibri" w:eastAsia="Times New Roman" w:hAnsi="Calibri" w:cs="Calibri"/>
          <w:lang w:eastAsia="hr-HR"/>
        </w:rPr>
        <w:t>EUR,</w:t>
      </w:r>
      <w:r>
        <w:rPr>
          <w:rFonts w:ascii="Calibri" w:eastAsia="Times New Roman" w:hAnsi="Calibri" w:cs="Calibri"/>
          <w:lang w:eastAsia="hr-HR"/>
        </w:rPr>
        <w:t xml:space="preserve"> a kojima se  financiraju </w:t>
      </w:r>
      <w:r w:rsidR="00D52882">
        <w:t>rashodi za zaposlene, rashodi za energiju, intelektualne usluge, komunalne usluge, uredski materijal, troškove prava za prikazivanje filmova i sl.,</w:t>
      </w:r>
      <w:r w:rsidR="00EA3613">
        <w:t xml:space="preserve"> te koji služe za pokriće metodološkog manjka prihoda iz 202</w:t>
      </w:r>
      <w:r w:rsidR="000D7F13">
        <w:t>4</w:t>
      </w:r>
      <w:r w:rsidR="00EA3613">
        <w:t xml:space="preserve"> </w:t>
      </w:r>
      <w:r w:rsidR="007200E4">
        <w:t>godine, te</w:t>
      </w:r>
      <w:r w:rsidR="00D52882">
        <w:t xml:space="preserve"> na </w:t>
      </w:r>
    </w:p>
    <w:p w14:paraId="4DCD7927" w14:textId="7B882471" w:rsidR="00D52882" w:rsidRDefault="00D52882" w:rsidP="00522E5A">
      <w:pPr>
        <w:ind w:firstLine="705"/>
        <w:jc w:val="both"/>
      </w:pPr>
      <w:r>
        <w:t xml:space="preserve"> - </w:t>
      </w:r>
      <w:r w:rsidR="00CF63D4">
        <w:t xml:space="preserve">6712 - </w:t>
      </w:r>
      <w:r>
        <w:t>prihode za financiranje nabave dugotrajne imovine u iznosu od</w:t>
      </w:r>
      <w:r w:rsidR="00522E5A">
        <w:t xml:space="preserve"> </w:t>
      </w:r>
      <w:r w:rsidR="000D7F13">
        <w:rPr>
          <w:rFonts w:ascii="Calibri" w:eastAsia="Times New Roman" w:hAnsi="Calibri" w:cs="Calibri"/>
          <w:lang w:eastAsia="hr-HR"/>
        </w:rPr>
        <w:t>32.867,60</w:t>
      </w:r>
      <w:r w:rsidR="00D922DC">
        <w:rPr>
          <w:rFonts w:ascii="Calibri" w:eastAsia="Times New Roman" w:hAnsi="Calibri" w:cs="Calibri"/>
          <w:lang w:eastAsia="hr-HR"/>
        </w:rPr>
        <w:t xml:space="preserve"> EUR</w:t>
      </w:r>
      <w:r>
        <w:t xml:space="preserve">. </w:t>
      </w:r>
    </w:p>
    <w:p w14:paraId="7658D7D0" w14:textId="4E80C415" w:rsidR="000A0427" w:rsidRDefault="00764D18" w:rsidP="00D52882">
      <w:pPr>
        <w:ind w:firstLine="708"/>
        <w:jc w:val="both"/>
      </w:pPr>
      <w:r w:rsidRPr="00764D18">
        <w:rPr>
          <w:b/>
          <w:bCs/>
        </w:rPr>
        <w:lastRenderedPageBreak/>
        <w:t>Ostali prihodi 68</w:t>
      </w:r>
      <w:r>
        <w:t xml:space="preserve"> – odnose se na prihod od usklađenja </w:t>
      </w:r>
      <w:r w:rsidR="00D922DC">
        <w:t>i ostalih poslovnih  prihoda i do 30.06.2</w:t>
      </w:r>
      <w:r w:rsidR="008F6A64">
        <w:t>025. nisu realizirani</w:t>
      </w:r>
      <w:r w:rsidR="005A3D7F">
        <w:t>.</w:t>
      </w:r>
    </w:p>
    <w:p w14:paraId="3938AF92" w14:textId="77777777" w:rsidR="00522E5A" w:rsidRDefault="00522E5A" w:rsidP="008F6A64">
      <w:pPr>
        <w:jc w:val="both"/>
      </w:pPr>
    </w:p>
    <w:p w14:paraId="72792C4F" w14:textId="77777777" w:rsidR="00522E5A" w:rsidRDefault="00522E5A" w:rsidP="00D52882">
      <w:pPr>
        <w:ind w:firstLine="708"/>
        <w:jc w:val="both"/>
      </w:pPr>
    </w:p>
    <w:p w14:paraId="2E631514" w14:textId="6E6C79A9" w:rsidR="00764D18" w:rsidRDefault="00E339F4" w:rsidP="00522E5A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522E5A">
        <w:rPr>
          <w:b/>
          <w:bCs/>
        </w:rPr>
        <w:t>RASHODI</w:t>
      </w:r>
    </w:p>
    <w:p w14:paraId="6F991F85" w14:textId="5B42BABB" w:rsidR="00522E5A" w:rsidRPr="00B43C81" w:rsidRDefault="00CF63D4" w:rsidP="00522E5A">
      <w:pPr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522E5A" w:rsidRPr="00B43C81">
        <w:rPr>
          <w:b/>
          <w:bCs/>
        </w:rPr>
        <w:t>Izvršenje rashoda i izdataka Proračuna POU Samobora za razdoblje od 1. siječnja do 30. lipnja 202</w:t>
      </w:r>
      <w:r w:rsidR="0058528C">
        <w:rPr>
          <w:b/>
          <w:bCs/>
        </w:rPr>
        <w:t>5</w:t>
      </w:r>
      <w:r w:rsidR="00522E5A" w:rsidRPr="00B43C81">
        <w:rPr>
          <w:b/>
          <w:bCs/>
        </w:rPr>
        <w:t xml:space="preserve">. godine u ukupnom iznosu od </w:t>
      </w:r>
      <w:r w:rsidR="005235B3">
        <w:rPr>
          <w:rFonts w:ascii="Calibri" w:eastAsia="Times New Roman" w:hAnsi="Calibri" w:cs="Calibri"/>
          <w:b/>
          <w:bCs/>
          <w:lang w:eastAsia="hr-HR"/>
        </w:rPr>
        <w:t>822.253,81</w:t>
      </w:r>
      <w:r w:rsidR="00522E5A" w:rsidRPr="00B43C81">
        <w:rPr>
          <w:rFonts w:ascii="Calibri" w:eastAsia="Times New Roman" w:hAnsi="Calibri" w:cs="Calibri"/>
          <w:b/>
          <w:bCs/>
          <w:lang w:eastAsia="hr-HR"/>
        </w:rPr>
        <w:t xml:space="preserve"> EUR </w:t>
      </w:r>
      <w:r w:rsidR="00522E5A" w:rsidRPr="00B43C81">
        <w:rPr>
          <w:b/>
          <w:bCs/>
        </w:rPr>
        <w:t>, s usporednim pokazateljima ostvarenja rashoda i izdataka za 202</w:t>
      </w:r>
      <w:r w:rsidR="005235B3">
        <w:rPr>
          <w:b/>
          <w:bCs/>
        </w:rPr>
        <w:t>4</w:t>
      </w:r>
      <w:r w:rsidR="00522E5A" w:rsidRPr="00B43C81">
        <w:rPr>
          <w:b/>
          <w:bCs/>
        </w:rPr>
        <w:t>. godinu, je kako slijedi:</w:t>
      </w:r>
    </w:p>
    <w:tbl>
      <w:tblPr>
        <w:tblStyle w:val="Reetkatablice"/>
        <w:tblpPr w:leftFromText="180" w:rightFromText="180" w:vertAnchor="text" w:horzAnchor="margin" w:tblpXSpec="center" w:tblpY="120"/>
        <w:tblW w:w="10900" w:type="dxa"/>
        <w:tblLook w:val="04A0" w:firstRow="1" w:lastRow="0" w:firstColumn="1" w:lastColumn="0" w:noHBand="0" w:noVBand="1"/>
      </w:tblPr>
      <w:tblGrid>
        <w:gridCol w:w="2923"/>
        <w:gridCol w:w="1224"/>
        <w:gridCol w:w="1448"/>
        <w:gridCol w:w="1393"/>
        <w:gridCol w:w="1639"/>
        <w:gridCol w:w="1133"/>
        <w:gridCol w:w="1140"/>
      </w:tblGrid>
      <w:tr w:rsidR="00A56DC6" w:rsidRPr="00A56DC6" w14:paraId="36674A40" w14:textId="77777777" w:rsidTr="00A56DC6">
        <w:trPr>
          <w:trHeight w:val="900"/>
        </w:trPr>
        <w:tc>
          <w:tcPr>
            <w:tcW w:w="2923" w:type="dxa"/>
            <w:hideMark/>
          </w:tcPr>
          <w:p w14:paraId="5D65972F" w14:textId="77777777" w:rsidR="00A56DC6" w:rsidRPr="00A56DC6" w:rsidRDefault="00A56DC6" w:rsidP="00A56DC6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Vrsta rashoda</w:t>
            </w:r>
          </w:p>
        </w:tc>
        <w:tc>
          <w:tcPr>
            <w:tcW w:w="1224" w:type="dxa"/>
            <w:hideMark/>
          </w:tcPr>
          <w:p w14:paraId="1D65C7DC" w14:textId="3C59B02B" w:rsidR="00A56DC6" w:rsidRPr="00A56DC6" w:rsidRDefault="00A56DC6" w:rsidP="00A56DC6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Izvršenje</w:t>
            </w:r>
            <w:r w:rsidRPr="00A56DC6">
              <w:rPr>
                <w:b/>
                <w:bCs/>
              </w:rPr>
              <w:br/>
              <w:t>I.-VI.202</w:t>
            </w:r>
            <w:r w:rsidR="004F6930">
              <w:rPr>
                <w:b/>
                <w:bCs/>
              </w:rPr>
              <w:t>4</w:t>
            </w:r>
          </w:p>
        </w:tc>
        <w:tc>
          <w:tcPr>
            <w:tcW w:w="1448" w:type="dxa"/>
            <w:hideMark/>
          </w:tcPr>
          <w:p w14:paraId="64B0F7F8" w14:textId="53CE2B5C" w:rsidR="00A56DC6" w:rsidRPr="00A56DC6" w:rsidRDefault="00A56DC6" w:rsidP="00A56DC6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 xml:space="preserve"> </w:t>
            </w:r>
            <w:r w:rsidR="004F6930">
              <w:rPr>
                <w:b/>
                <w:bCs/>
              </w:rPr>
              <w:t xml:space="preserve">Plan </w:t>
            </w:r>
            <w:r w:rsidRPr="00A56DC6">
              <w:rPr>
                <w:b/>
                <w:bCs/>
              </w:rPr>
              <w:br/>
              <w:t>202</w:t>
            </w:r>
            <w:r w:rsidR="004F6930">
              <w:rPr>
                <w:b/>
                <w:bCs/>
              </w:rPr>
              <w:t>5</w:t>
            </w:r>
            <w:r w:rsidRPr="00A56DC6">
              <w:rPr>
                <w:b/>
                <w:bCs/>
              </w:rPr>
              <w:t>.</w:t>
            </w:r>
          </w:p>
        </w:tc>
        <w:tc>
          <w:tcPr>
            <w:tcW w:w="1393" w:type="dxa"/>
            <w:hideMark/>
          </w:tcPr>
          <w:p w14:paraId="7425D602" w14:textId="010A8534" w:rsidR="00A56DC6" w:rsidRPr="00A56DC6" w:rsidRDefault="00A56DC6" w:rsidP="00A56DC6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Izvršenje</w:t>
            </w:r>
            <w:r w:rsidRPr="00A56DC6">
              <w:rPr>
                <w:b/>
                <w:bCs/>
              </w:rPr>
              <w:br/>
              <w:t>I.-VI.202</w:t>
            </w:r>
            <w:r w:rsidR="004F6930">
              <w:rPr>
                <w:b/>
                <w:bCs/>
              </w:rPr>
              <w:t>5</w:t>
            </w:r>
          </w:p>
        </w:tc>
        <w:tc>
          <w:tcPr>
            <w:tcW w:w="1639" w:type="dxa"/>
            <w:hideMark/>
          </w:tcPr>
          <w:p w14:paraId="6A9000A9" w14:textId="4CD69945" w:rsidR="00A56DC6" w:rsidRPr="00A56DC6" w:rsidRDefault="00A56DC6" w:rsidP="00A56DC6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 xml:space="preserve">Indeks </w:t>
            </w:r>
            <w:proofErr w:type="spellStart"/>
            <w:r w:rsidRPr="00A56DC6">
              <w:rPr>
                <w:b/>
                <w:bCs/>
              </w:rPr>
              <w:t>izvrš</w:t>
            </w:r>
            <w:proofErr w:type="spellEnd"/>
            <w:r w:rsidRPr="00A56DC6">
              <w:rPr>
                <w:b/>
                <w:bCs/>
              </w:rPr>
              <w:t>/izvrš.202</w:t>
            </w:r>
            <w:r w:rsidR="004F6930">
              <w:rPr>
                <w:b/>
                <w:bCs/>
              </w:rPr>
              <w:t>4</w:t>
            </w:r>
          </w:p>
        </w:tc>
        <w:tc>
          <w:tcPr>
            <w:tcW w:w="1133" w:type="dxa"/>
            <w:hideMark/>
          </w:tcPr>
          <w:p w14:paraId="31765000" w14:textId="77777777" w:rsidR="00A56DC6" w:rsidRPr="00A56DC6" w:rsidRDefault="00A56DC6" w:rsidP="00A56DC6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Indeks</w:t>
            </w:r>
            <w:r w:rsidRPr="00A56DC6">
              <w:rPr>
                <w:b/>
                <w:bCs/>
              </w:rPr>
              <w:br/>
            </w:r>
            <w:proofErr w:type="spellStart"/>
            <w:r w:rsidRPr="00A56DC6">
              <w:rPr>
                <w:b/>
                <w:bCs/>
              </w:rPr>
              <w:t>izvrš</w:t>
            </w:r>
            <w:proofErr w:type="spellEnd"/>
            <w:r w:rsidRPr="00A56DC6">
              <w:rPr>
                <w:b/>
                <w:bCs/>
              </w:rPr>
              <w:t>./tek. plan</w:t>
            </w:r>
          </w:p>
        </w:tc>
        <w:tc>
          <w:tcPr>
            <w:tcW w:w="1140" w:type="dxa"/>
            <w:hideMark/>
          </w:tcPr>
          <w:p w14:paraId="22E7EC77" w14:textId="77777777" w:rsidR="00A56DC6" w:rsidRPr="00A56DC6" w:rsidRDefault="00A56DC6" w:rsidP="00A56DC6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 xml:space="preserve">Udio u strukturi izvršenja </w:t>
            </w:r>
          </w:p>
        </w:tc>
      </w:tr>
      <w:tr w:rsidR="000E5511" w:rsidRPr="00A56DC6" w14:paraId="098BA1D2" w14:textId="77777777" w:rsidTr="001E39CD">
        <w:trPr>
          <w:trHeight w:val="300"/>
        </w:trPr>
        <w:tc>
          <w:tcPr>
            <w:tcW w:w="2923" w:type="dxa"/>
            <w:hideMark/>
          </w:tcPr>
          <w:p w14:paraId="33985BDB" w14:textId="77777777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Ukupni rashodi</w:t>
            </w:r>
          </w:p>
        </w:tc>
        <w:tc>
          <w:tcPr>
            <w:tcW w:w="1224" w:type="dxa"/>
            <w:noWrap/>
            <w:hideMark/>
          </w:tcPr>
          <w:p w14:paraId="7708BBE5" w14:textId="3FAA9373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511.634,43</w:t>
            </w:r>
          </w:p>
        </w:tc>
        <w:tc>
          <w:tcPr>
            <w:tcW w:w="1448" w:type="dxa"/>
            <w:noWrap/>
          </w:tcPr>
          <w:p w14:paraId="251D2A24" w14:textId="52C2A4F5" w:rsidR="000E5511" w:rsidRPr="00A56DC6" w:rsidRDefault="00A6111C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1.844.500</w:t>
            </w:r>
            <w:r w:rsidR="00CA601A">
              <w:rPr>
                <w:b/>
                <w:bCs/>
              </w:rPr>
              <w:t>,00</w:t>
            </w:r>
          </w:p>
        </w:tc>
        <w:tc>
          <w:tcPr>
            <w:tcW w:w="1393" w:type="dxa"/>
            <w:noWrap/>
          </w:tcPr>
          <w:p w14:paraId="6AE67AEC" w14:textId="71B95C5E" w:rsidR="000E5511" w:rsidRPr="00A56DC6" w:rsidRDefault="00A6111C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822.25</w:t>
            </w:r>
            <w:r w:rsidR="00903B8C">
              <w:rPr>
                <w:b/>
                <w:bCs/>
              </w:rPr>
              <w:t>3</w:t>
            </w:r>
            <w:r>
              <w:rPr>
                <w:b/>
                <w:bCs/>
              </w:rPr>
              <w:t>,</w:t>
            </w:r>
            <w:r w:rsidR="00CA601A">
              <w:rPr>
                <w:b/>
                <w:bCs/>
              </w:rPr>
              <w:t>81</w:t>
            </w:r>
          </w:p>
        </w:tc>
        <w:tc>
          <w:tcPr>
            <w:tcW w:w="1639" w:type="dxa"/>
            <w:noWrap/>
            <w:hideMark/>
          </w:tcPr>
          <w:p w14:paraId="27069364" w14:textId="0049D9DC" w:rsidR="000E5511" w:rsidRPr="00A56DC6" w:rsidRDefault="000E5511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97F89">
              <w:rPr>
                <w:b/>
                <w:bCs/>
              </w:rPr>
              <w:t>61</w:t>
            </w:r>
            <w:r>
              <w:rPr>
                <w:b/>
                <w:bCs/>
              </w:rPr>
              <w:t>%</w:t>
            </w:r>
          </w:p>
        </w:tc>
        <w:tc>
          <w:tcPr>
            <w:tcW w:w="1133" w:type="dxa"/>
            <w:noWrap/>
            <w:hideMark/>
          </w:tcPr>
          <w:p w14:paraId="42512D48" w14:textId="67291500" w:rsidR="000E5511" w:rsidRPr="00A56DC6" w:rsidRDefault="00C026A7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0E5511" w:rsidRPr="00A56DC6">
              <w:rPr>
                <w:b/>
                <w:bCs/>
              </w:rPr>
              <w:t>%</w:t>
            </w:r>
          </w:p>
        </w:tc>
        <w:tc>
          <w:tcPr>
            <w:tcW w:w="1140" w:type="dxa"/>
            <w:noWrap/>
            <w:hideMark/>
          </w:tcPr>
          <w:p w14:paraId="3F4307B6" w14:textId="77777777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100%</w:t>
            </w:r>
          </w:p>
        </w:tc>
      </w:tr>
      <w:tr w:rsidR="000E5511" w:rsidRPr="00A56DC6" w14:paraId="4853CD73" w14:textId="77777777" w:rsidTr="001E39CD">
        <w:trPr>
          <w:trHeight w:val="600"/>
        </w:trPr>
        <w:tc>
          <w:tcPr>
            <w:tcW w:w="2923" w:type="dxa"/>
            <w:hideMark/>
          </w:tcPr>
          <w:p w14:paraId="4CCB9A74" w14:textId="77777777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 xml:space="preserve">3 RASHODI POSLOVANJA </w:t>
            </w:r>
          </w:p>
        </w:tc>
        <w:tc>
          <w:tcPr>
            <w:tcW w:w="1224" w:type="dxa"/>
            <w:noWrap/>
            <w:hideMark/>
          </w:tcPr>
          <w:p w14:paraId="39F13194" w14:textId="0DE7749A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502.401,22</w:t>
            </w:r>
          </w:p>
        </w:tc>
        <w:tc>
          <w:tcPr>
            <w:tcW w:w="1448" w:type="dxa"/>
            <w:noWrap/>
          </w:tcPr>
          <w:p w14:paraId="7507C1A5" w14:textId="1B875B23" w:rsidR="000E5511" w:rsidRPr="00A56DC6" w:rsidRDefault="00CA601A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1.761.500,00</w:t>
            </w:r>
          </w:p>
        </w:tc>
        <w:tc>
          <w:tcPr>
            <w:tcW w:w="1393" w:type="dxa"/>
            <w:noWrap/>
          </w:tcPr>
          <w:p w14:paraId="459CD0B3" w14:textId="46D66E25" w:rsidR="000E5511" w:rsidRPr="00A56DC6" w:rsidRDefault="00CA601A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762.526,05</w:t>
            </w:r>
          </w:p>
        </w:tc>
        <w:tc>
          <w:tcPr>
            <w:tcW w:w="1639" w:type="dxa"/>
            <w:noWrap/>
            <w:hideMark/>
          </w:tcPr>
          <w:p w14:paraId="2BFF4350" w14:textId="7BB369CF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1</w:t>
            </w:r>
            <w:r w:rsidR="00997F89">
              <w:rPr>
                <w:b/>
                <w:bCs/>
              </w:rPr>
              <w:t>52</w:t>
            </w:r>
            <w:r w:rsidRPr="00A56DC6">
              <w:rPr>
                <w:b/>
                <w:bCs/>
              </w:rPr>
              <w:t>%</w:t>
            </w:r>
          </w:p>
        </w:tc>
        <w:tc>
          <w:tcPr>
            <w:tcW w:w="1133" w:type="dxa"/>
            <w:noWrap/>
            <w:hideMark/>
          </w:tcPr>
          <w:p w14:paraId="7AC61732" w14:textId="376C1DE9" w:rsidR="000E5511" w:rsidRPr="00A77075" w:rsidRDefault="00C026A7" w:rsidP="000E5511">
            <w:pPr>
              <w:jc w:val="both"/>
              <w:rPr>
                <w:b/>
                <w:bCs/>
              </w:rPr>
            </w:pPr>
            <w:r w:rsidRPr="00A77075">
              <w:rPr>
                <w:b/>
                <w:bCs/>
              </w:rPr>
              <w:t>43</w:t>
            </w:r>
            <w:r w:rsidR="000E5511" w:rsidRPr="00A77075">
              <w:rPr>
                <w:b/>
                <w:bCs/>
              </w:rPr>
              <w:t>%</w:t>
            </w:r>
          </w:p>
        </w:tc>
        <w:tc>
          <w:tcPr>
            <w:tcW w:w="1140" w:type="dxa"/>
            <w:noWrap/>
            <w:hideMark/>
          </w:tcPr>
          <w:p w14:paraId="1C74CFC7" w14:textId="492E9052" w:rsidR="000E5511" w:rsidRPr="00A77075" w:rsidRDefault="00A77075" w:rsidP="000E5511">
            <w:pPr>
              <w:jc w:val="both"/>
              <w:rPr>
                <w:b/>
                <w:bCs/>
              </w:rPr>
            </w:pPr>
            <w:r w:rsidRPr="00A77075">
              <w:rPr>
                <w:b/>
                <w:bCs/>
              </w:rPr>
              <w:t>93</w:t>
            </w:r>
            <w:r w:rsidR="000E5511" w:rsidRPr="00A77075">
              <w:rPr>
                <w:b/>
                <w:bCs/>
              </w:rPr>
              <w:t>%</w:t>
            </w:r>
          </w:p>
        </w:tc>
      </w:tr>
      <w:tr w:rsidR="000E5511" w:rsidRPr="00A56DC6" w14:paraId="46CCA43F" w14:textId="77777777" w:rsidTr="001E39CD">
        <w:trPr>
          <w:trHeight w:val="525"/>
        </w:trPr>
        <w:tc>
          <w:tcPr>
            <w:tcW w:w="2923" w:type="dxa"/>
            <w:hideMark/>
          </w:tcPr>
          <w:p w14:paraId="51FD8B8B" w14:textId="77777777" w:rsidR="000E5511" w:rsidRPr="00A56DC6" w:rsidRDefault="000E5511" w:rsidP="000E5511">
            <w:pPr>
              <w:jc w:val="both"/>
            </w:pPr>
            <w:r w:rsidRPr="00A56DC6">
              <w:t xml:space="preserve">31 Rashodi za zaposlene </w:t>
            </w:r>
          </w:p>
        </w:tc>
        <w:tc>
          <w:tcPr>
            <w:tcW w:w="1224" w:type="dxa"/>
            <w:noWrap/>
            <w:hideMark/>
          </w:tcPr>
          <w:p w14:paraId="06DF3A60" w14:textId="2009C8A1" w:rsidR="000E5511" w:rsidRPr="00A56DC6" w:rsidRDefault="000E5511" w:rsidP="000E5511">
            <w:pPr>
              <w:jc w:val="both"/>
            </w:pPr>
            <w:r w:rsidRPr="00A56DC6">
              <w:t>222.959,31</w:t>
            </w:r>
          </w:p>
        </w:tc>
        <w:tc>
          <w:tcPr>
            <w:tcW w:w="1448" w:type="dxa"/>
            <w:noWrap/>
          </w:tcPr>
          <w:p w14:paraId="3CCF3769" w14:textId="03D3A80F" w:rsidR="000E5511" w:rsidRPr="00A56DC6" w:rsidRDefault="00027AD0" w:rsidP="000E5511">
            <w:pPr>
              <w:jc w:val="both"/>
            </w:pPr>
            <w:r>
              <w:t>774.500,00</w:t>
            </w:r>
          </w:p>
        </w:tc>
        <w:tc>
          <w:tcPr>
            <w:tcW w:w="1393" w:type="dxa"/>
            <w:noWrap/>
          </w:tcPr>
          <w:p w14:paraId="748D9C5F" w14:textId="07729EA4" w:rsidR="000E5511" w:rsidRPr="00A56DC6" w:rsidRDefault="00027AD0" w:rsidP="000E5511">
            <w:pPr>
              <w:jc w:val="both"/>
            </w:pPr>
            <w:r>
              <w:t>360.637,99</w:t>
            </w:r>
          </w:p>
        </w:tc>
        <w:tc>
          <w:tcPr>
            <w:tcW w:w="1639" w:type="dxa"/>
            <w:noWrap/>
            <w:hideMark/>
          </w:tcPr>
          <w:p w14:paraId="77B4D18F" w14:textId="09C74DDB" w:rsidR="000E5511" w:rsidRPr="00A56DC6" w:rsidRDefault="000E5511" w:rsidP="000E5511">
            <w:pPr>
              <w:jc w:val="both"/>
            </w:pPr>
            <w:r w:rsidRPr="00A56DC6">
              <w:t>1</w:t>
            </w:r>
            <w:r w:rsidR="00997F89">
              <w:t>62</w:t>
            </w:r>
            <w:r w:rsidRPr="00A56DC6">
              <w:t>%</w:t>
            </w:r>
          </w:p>
        </w:tc>
        <w:tc>
          <w:tcPr>
            <w:tcW w:w="1133" w:type="dxa"/>
            <w:noWrap/>
            <w:hideMark/>
          </w:tcPr>
          <w:p w14:paraId="6ED84E43" w14:textId="04C71BCD" w:rsidR="000E5511" w:rsidRPr="00A56DC6" w:rsidRDefault="00A77075" w:rsidP="000E5511">
            <w:pPr>
              <w:jc w:val="both"/>
            </w:pPr>
            <w:r>
              <w:t>47</w:t>
            </w:r>
            <w:r w:rsidR="000E5511" w:rsidRPr="00A56DC6">
              <w:t>%</w:t>
            </w:r>
          </w:p>
        </w:tc>
        <w:tc>
          <w:tcPr>
            <w:tcW w:w="1140" w:type="dxa"/>
            <w:noWrap/>
            <w:hideMark/>
          </w:tcPr>
          <w:p w14:paraId="7B3F4F28" w14:textId="77777777" w:rsidR="000E5511" w:rsidRPr="00A56DC6" w:rsidRDefault="000E5511" w:rsidP="000E5511">
            <w:pPr>
              <w:jc w:val="both"/>
            </w:pPr>
            <w:r w:rsidRPr="00A56DC6">
              <w:t>44%</w:t>
            </w:r>
          </w:p>
        </w:tc>
      </w:tr>
      <w:tr w:rsidR="000E5511" w:rsidRPr="00A56DC6" w14:paraId="62D744F9" w14:textId="77777777" w:rsidTr="001E39CD">
        <w:trPr>
          <w:trHeight w:val="600"/>
        </w:trPr>
        <w:tc>
          <w:tcPr>
            <w:tcW w:w="2923" w:type="dxa"/>
            <w:hideMark/>
          </w:tcPr>
          <w:p w14:paraId="33C5E253" w14:textId="77777777" w:rsidR="000E5511" w:rsidRPr="00A56DC6" w:rsidRDefault="000E5511" w:rsidP="000E5511">
            <w:pPr>
              <w:jc w:val="both"/>
            </w:pPr>
            <w:r w:rsidRPr="00A56DC6">
              <w:t xml:space="preserve">32 Materijalni rashodi </w:t>
            </w:r>
          </w:p>
        </w:tc>
        <w:tc>
          <w:tcPr>
            <w:tcW w:w="1224" w:type="dxa"/>
            <w:noWrap/>
            <w:hideMark/>
          </w:tcPr>
          <w:p w14:paraId="49885109" w14:textId="0AFA9936" w:rsidR="000E5511" w:rsidRPr="00A56DC6" w:rsidRDefault="000E5511" w:rsidP="000E5511">
            <w:pPr>
              <w:jc w:val="both"/>
            </w:pPr>
            <w:r w:rsidRPr="00A56DC6">
              <w:t>278.687,84</w:t>
            </w:r>
          </w:p>
        </w:tc>
        <w:tc>
          <w:tcPr>
            <w:tcW w:w="1448" w:type="dxa"/>
            <w:noWrap/>
          </w:tcPr>
          <w:p w14:paraId="0D9999AB" w14:textId="2C9BBBD7" w:rsidR="000E5511" w:rsidRPr="00A56DC6" w:rsidRDefault="00027AD0" w:rsidP="000E5511">
            <w:pPr>
              <w:jc w:val="both"/>
            </w:pPr>
            <w:r>
              <w:t>972.500,00</w:t>
            </w:r>
          </w:p>
        </w:tc>
        <w:tc>
          <w:tcPr>
            <w:tcW w:w="1393" w:type="dxa"/>
            <w:noWrap/>
          </w:tcPr>
          <w:p w14:paraId="58A8EEF7" w14:textId="43804FF7" w:rsidR="000E5511" w:rsidRPr="00A56DC6" w:rsidRDefault="00027AD0" w:rsidP="000E5511">
            <w:pPr>
              <w:jc w:val="both"/>
            </w:pPr>
            <w:r>
              <w:t>401.032,22</w:t>
            </w:r>
          </w:p>
        </w:tc>
        <w:tc>
          <w:tcPr>
            <w:tcW w:w="1639" w:type="dxa"/>
            <w:noWrap/>
            <w:hideMark/>
          </w:tcPr>
          <w:p w14:paraId="63E45C42" w14:textId="041841A9" w:rsidR="000E5511" w:rsidRPr="00A56DC6" w:rsidRDefault="000E5511" w:rsidP="000E5511">
            <w:pPr>
              <w:jc w:val="both"/>
            </w:pPr>
            <w:r w:rsidRPr="00A56DC6">
              <w:t>1</w:t>
            </w:r>
            <w:r w:rsidR="0042124C">
              <w:t>44</w:t>
            </w:r>
            <w:r w:rsidRPr="00A56DC6">
              <w:t>%</w:t>
            </w:r>
          </w:p>
        </w:tc>
        <w:tc>
          <w:tcPr>
            <w:tcW w:w="1133" w:type="dxa"/>
            <w:noWrap/>
            <w:hideMark/>
          </w:tcPr>
          <w:p w14:paraId="4AB44AB5" w14:textId="324334B0" w:rsidR="000E5511" w:rsidRPr="00A56DC6" w:rsidRDefault="00A77075" w:rsidP="000E5511">
            <w:pPr>
              <w:jc w:val="both"/>
            </w:pPr>
            <w:r>
              <w:t>41</w:t>
            </w:r>
            <w:r w:rsidR="000E5511" w:rsidRPr="00A56DC6">
              <w:t>%</w:t>
            </w:r>
          </w:p>
        </w:tc>
        <w:tc>
          <w:tcPr>
            <w:tcW w:w="1140" w:type="dxa"/>
            <w:noWrap/>
            <w:hideMark/>
          </w:tcPr>
          <w:p w14:paraId="01A2EFD4" w14:textId="60C04352" w:rsidR="000E5511" w:rsidRPr="00A56DC6" w:rsidRDefault="006F53AF" w:rsidP="000E5511">
            <w:pPr>
              <w:jc w:val="both"/>
            </w:pPr>
            <w:r>
              <w:t>49</w:t>
            </w:r>
            <w:r w:rsidR="000E5511" w:rsidRPr="00A56DC6">
              <w:t>%</w:t>
            </w:r>
          </w:p>
        </w:tc>
      </w:tr>
      <w:tr w:rsidR="000E5511" w:rsidRPr="00A56DC6" w14:paraId="56C53133" w14:textId="77777777" w:rsidTr="001E39CD">
        <w:trPr>
          <w:trHeight w:val="600"/>
        </w:trPr>
        <w:tc>
          <w:tcPr>
            <w:tcW w:w="2923" w:type="dxa"/>
            <w:hideMark/>
          </w:tcPr>
          <w:p w14:paraId="777DDDB2" w14:textId="77777777" w:rsidR="000E5511" w:rsidRPr="00A56DC6" w:rsidRDefault="000E5511" w:rsidP="000E5511">
            <w:pPr>
              <w:jc w:val="both"/>
            </w:pPr>
            <w:r w:rsidRPr="00A56DC6">
              <w:t xml:space="preserve">34 Financijski rashodi </w:t>
            </w:r>
          </w:p>
        </w:tc>
        <w:tc>
          <w:tcPr>
            <w:tcW w:w="1224" w:type="dxa"/>
            <w:noWrap/>
            <w:hideMark/>
          </w:tcPr>
          <w:p w14:paraId="32AEE7C8" w14:textId="51184326" w:rsidR="000E5511" w:rsidRPr="00A56DC6" w:rsidRDefault="000E5511" w:rsidP="000E5511">
            <w:pPr>
              <w:jc w:val="both"/>
            </w:pPr>
            <w:r w:rsidRPr="00A56DC6">
              <w:t>754,07</w:t>
            </w:r>
          </w:p>
        </w:tc>
        <w:tc>
          <w:tcPr>
            <w:tcW w:w="1448" w:type="dxa"/>
            <w:noWrap/>
          </w:tcPr>
          <w:p w14:paraId="7AFEAFB5" w14:textId="2CB86501" w:rsidR="000E5511" w:rsidRPr="00A56DC6" w:rsidRDefault="00C2245C" w:rsidP="000E5511">
            <w:pPr>
              <w:jc w:val="both"/>
            </w:pPr>
            <w:r>
              <w:t>1.900,00</w:t>
            </w:r>
          </w:p>
        </w:tc>
        <w:tc>
          <w:tcPr>
            <w:tcW w:w="1393" w:type="dxa"/>
            <w:noWrap/>
          </w:tcPr>
          <w:p w14:paraId="62689A07" w14:textId="77777777" w:rsidR="000E5511" w:rsidRDefault="00C2245C" w:rsidP="000E5511">
            <w:pPr>
              <w:jc w:val="both"/>
            </w:pPr>
            <w:r>
              <w:t>855,84</w:t>
            </w:r>
          </w:p>
          <w:p w14:paraId="17A79A9B" w14:textId="3D0EE2F5" w:rsidR="00C2245C" w:rsidRPr="00A56DC6" w:rsidRDefault="00C2245C" w:rsidP="000E5511">
            <w:pPr>
              <w:jc w:val="both"/>
            </w:pPr>
          </w:p>
        </w:tc>
        <w:tc>
          <w:tcPr>
            <w:tcW w:w="1639" w:type="dxa"/>
            <w:noWrap/>
            <w:hideMark/>
          </w:tcPr>
          <w:p w14:paraId="13E2FCDC" w14:textId="391BA881" w:rsidR="000E5511" w:rsidRPr="00A56DC6" w:rsidRDefault="000E5511" w:rsidP="000E5511">
            <w:pPr>
              <w:jc w:val="both"/>
            </w:pPr>
            <w:r w:rsidRPr="00A56DC6">
              <w:t>11</w:t>
            </w:r>
            <w:r w:rsidR="0042124C">
              <w:t>3</w:t>
            </w:r>
            <w:r w:rsidRPr="00A56DC6">
              <w:t>%</w:t>
            </w:r>
          </w:p>
        </w:tc>
        <w:tc>
          <w:tcPr>
            <w:tcW w:w="1133" w:type="dxa"/>
            <w:noWrap/>
            <w:hideMark/>
          </w:tcPr>
          <w:p w14:paraId="060B4184" w14:textId="366F736B" w:rsidR="000E5511" w:rsidRPr="00A56DC6" w:rsidRDefault="00A77075" w:rsidP="000E5511">
            <w:pPr>
              <w:jc w:val="both"/>
            </w:pPr>
            <w:r>
              <w:t>45</w:t>
            </w:r>
            <w:r w:rsidR="000E5511" w:rsidRPr="00A56DC6">
              <w:t>%</w:t>
            </w:r>
          </w:p>
        </w:tc>
        <w:tc>
          <w:tcPr>
            <w:tcW w:w="1140" w:type="dxa"/>
            <w:noWrap/>
            <w:hideMark/>
          </w:tcPr>
          <w:p w14:paraId="78DD2444" w14:textId="77777777" w:rsidR="000E5511" w:rsidRPr="00A56DC6" w:rsidRDefault="000E5511" w:rsidP="000E5511">
            <w:pPr>
              <w:jc w:val="both"/>
            </w:pPr>
            <w:r w:rsidRPr="00A56DC6">
              <w:t>0%</w:t>
            </w:r>
          </w:p>
        </w:tc>
      </w:tr>
      <w:tr w:rsidR="000E5511" w:rsidRPr="00A56DC6" w14:paraId="777C853D" w14:textId="77777777" w:rsidTr="001E39CD">
        <w:trPr>
          <w:trHeight w:val="900"/>
        </w:trPr>
        <w:tc>
          <w:tcPr>
            <w:tcW w:w="2923" w:type="dxa"/>
            <w:hideMark/>
          </w:tcPr>
          <w:p w14:paraId="65FD4BF7" w14:textId="77777777" w:rsidR="000E5511" w:rsidRPr="00A56DC6" w:rsidRDefault="000E5511" w:rsidP="000E5511">
            <w:pPr>
              <w:jc w:val="both"/>
            </w:pPr>
            <w:r w:rsidRPr="00A56DC6">
              <w:t>38 Ostali nespomenuti rashodi</w:t>
            </w:r>
          </w:p>
        </w:tc>
        <w:tc>
          <w:tcPr>
            <w:tcW w:w="1224" w:type="dxa"/>
            <w:noWrap/>
            <w:hideMark/>
          </w:tcPr>
          <w:p w14:paraId="415825C9" w14:textId="43DF676D" w:rsidR="000E5511" w:rsidRPr="00A56DC6" w:rsidRDefault="000E5511" w:rsidP="000E5511">
            <w:pPr>
              <w:jc w:val="both"/>
            </w:pPr>
            <w:r w:rsidRPr="00A56DC6">
              <w:t>0,00</w:t>
            </w:r>
          </w:p>
        </w:tc>
        <w:tc>
          <w:tcPr>
            <w:tcW w:w="1448" w:type="dxa"/>
            <w:noWrap/>
          </w:tcPr>
          <w:p w14:paraId="6DAE6ECD" w14:textId="6E3014CB" w:rsidR="000E5511" w:rsidRPr="00A56DC6" w:rsidRDefault="00C2245C" w:rsidP="000E5511">
            <w:pPr>
              <w:jc w:val="both"/>
            </w:pPr>
            <w:r>
              <w:t>12.600,00</w:t>
            </w:r>
          </w:p>
        </w:tc>
        <w:tc>
          <w:tcPr>
            <w:tcW w:w="1393" w:type="dxa"/>
            <w:noWrap/>
          </w:tcPr>
          <w:p w14:paraId="4C8F30E6" w14:textId="77777777" w:rsidR="000E5511" w:rsidRDefault="00C2245C" w:rsidP="000E5511">
            <w:pPr>
              <w:jc w:val="both"/>
            </w:pPr>
            <w:r>
              <w:t>0,00</w:t>
            </w:r>
          </w:p>
          <w:p w14:paraId="57DDA60F" w14:textId="677AE6AC" w:rsidR="00C2245C" w:rsidRPr="00A56DC6" w:rsidRDefault="00C2245C" w:rsidP="000E5511">
            <w:pPr>
              <w:jc w:val="both"/>
            </w:pPr>
          </w:p>
        </w:tc>
        <w:tc>
          <w:tcPr>
            <w:tcW w:w="1639" w:type="dxa"/>
            <w:noWrap/>
            <w:hideMark/>
          </w:tcPr>
          <w:p w14:paraId="6D386364" w14:textId="77777777" w:rsidR="000E5511" w:rsidRPr="00A56DC6" w:rsidRDefault="000E5511" w:rsidP="000E5511">
            <w:pPr>
              <w:jc w:val="both"/>
            </w:pPr>
            <w:r w:rsidRPr="00A56DC6">
              <w:t>0%</w:t>
            </w:r>
          </w:p>
        </w:tc>
        <w:tc>
          <w:tcPr>
            <w:tcW w:w="1133" w:type="dxa"/>
            <w:noWrap/>
            <w:hideMark/>
          </w:tcPr>
          <w:p w14:paraId="2749DA48" w14:textId="77777777" w:rsidR="000E5511" w:rsidRPr="00A56DC6" w:rsidRDefault="000E5511" w:rsidP="000E5511">
            <w:pPr>
              <w:jc w:val="both"/>
            </w:pPr>
            <w:r w:rsidRPr="00A56DC6">
              <w:t>0%</w:t>
            </w:r>
          </w:p>
        </w:tc>
        <w:tc>
          <w:tcPr>
            <w:tcW w:w="1140" w:type="dxa"/>
            <w:noWrap/>
            <w:hideMark/>
          </w:tcPr>
          <w:p w14:paraId="5747C5CF" w14:textId="77777777" w:rsidR="000E5511" w:rsidRPr="00A56DC6" w:rsidRDefault="000E5511" w:rsidP="000E5511">
            <w:pPr>
              <w:jc w:val="both"/>
            </w:pPr>
            <w:r w:rsidRPr="00A56DC6">
              <w:t>0%</w:t>
            </w:r>
          </w:p>
        </w:tc>
      </w:tr>
      <w:tr w:rsidR="000E5511" w:rsidRPr="00A56DC6" w14:paraId="5BC32073" w14:textId="77777777" w:rsidTr="001E39CD">
        <w:trPr>
          <w:trHeight w:val="735"/>
        </w:trPr>
        <w:tc>
          <w:tcPr>
            <w:tcW w:w="2923" w:type="dxa"/>
            <w:hideMark/>
          </w:tcPr>
          <w:p w14:paraId="7F107CB4" w14:textId="77777777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 xml:space="preserve">4 Rashodi za nabavu nefinancijske imovine </w:t>
            </w:r>
          </w:p>
        </w:tc>
        <w:tc>
          <w:tcPr>
            <w:tcW w:w="1224" w:type="dxa"/>
            <w:noWrap/>
            <w:hideMark/>
          </w:tcPr>
          <w:p w14:paraId="368CF5DC" w14:textId="59392DFC" w:rsidR="000E5511" w:rsidRPr="00A56DC6" w:rsidRDefault="000E5511" w:rsidP="000E5511">
            <w:pPr>
              <w:jc w:val="both"/>
              <w:rPr>
                <w:b/>
                <w:bCs/>
              </w:rPr>
            </w:pPr>
            <w:r w:rsidRPr="00A56DC6">
              <w:rPr>
                <w:b/>
                <w:bCs/>
              </w:rPr>
              <w:t>9.233,21</w:t>
            </w:r>
          </w:p>
        </w:tc>
        <w:tc>
          <w:tcPr>
            <w:tcW w:w="1448" w:type="dxa"/>
            <w:noWrap/>
          </w:tcPr>
          <w:p w14:paraId="58C0C51F" w14:textId="6EAC5C4B" w:rsidR="000E5511" w:rsidRPr="00A56DC6" w:rsidRDefault="00CA601A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83.000,00</w:t>
            </w:r>
          </w:p>
        </w:tc>
        <w:tc>
          <w:tcPr>
            <w:tcW w:w="1393" w:type="dxa"/>
            <w:noWrap/>
          </w:tcPr>
          <w:p w14:paraId="76572C0C" w14:textId="62E001C6" w:rsidR="000E5511" w:rsidRPr="00A56DC6" w:rsidRDefault="00CA601A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59.727,76</w:t>
            </w:r>
          </w:p>
        </w:tc>
        <w:tc>
          <w:tcPr>
            <w:tcW w:w="1639" w:type="dxa"/>
            <w:noWrap/>
            <w:hideMark/>
          </w:tcPr>
          <w:p w14:paraId="0941B6E2" w14:textId="1D40D763" w:rsidR="000E5511" w:rsidRPr="00A56DC6" w:rsidRDefault="001F7266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647</w:t>
            </w:r>
            <w:r w:rsidR="000E5511" w:rsidRPr="00A56DC6">
              <w:rPr>
                <w:b/>
                <w:bCs/>
              </w:rPr>
              <w:t>%</w:t>
            </w:r>
          </w:p>
        </w:tc>
        <w:tc>
          <w:tcPr>
            <w:tcW w:w="1133" w:type="dxa"/>
            <w:noWrap/>
            <w:hideMark/>
          </w:tcPr>
          <w:p w14:paraId="3911AC95" w14:textId="011B0487" w:rsidR="000E5511" w:rsidRPr="00A56DC6" w:rsidRDefault="00A77075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  <w:r w:rsidR="000E5511" w:rsidRPr="00A56DC6">
              <w:rPr>
                <w:b/>
                <w:bCs/>
              </w:rPr>
              <w:t>%</w:t>
            </w:r>
          </w:p>
        </w:tc>
        <w:tc>
          <w:tcPr>
            <w:tcW w:w="1140" w:type="dxa"/>
            <w:noWrap/>
            <w:hideMark/>
          </w:tcPr>
          <w:p w14:paraId="7616979C" w14:textId="15BE8ED3" w:rsidR="000E5511" w:rsidRPr="00A56DC6" w:rsidRDefault="006F53AF" w:rsidP="000E55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E5511" w:rsidRPr="00A56DC6">
              <w:rPr>
                <w:b/>
                <w:bCs/>
              </w:rPr>
              <w:t>%</w:t>
            </w:r>
          </w:p>
        </w:tc>
      </w:tr>
      <w:tr w:rsidR="000E5511" w:rsidRPr="00A56DC6" w14:paraId="45778F38" w14:textId="77777777" w:rsidTr="001E39CD">
        <w:trPr>
          <w:trHeight w:val="780"/>
        </w:trPr>
        <w:tc>
          <w:tcPr>
            <w:tcW w:w="2923" w:type="dxa"/>
            <w:hideMark/>
          </w:tcPr>
          <w:p w14:paraId="67C0C174" w14:textId="77777777" w:rsidR="000E5511" w:rsidRPr="00A56DC6" w:rsidRDefault="000E5511" w:rsidP="000E5511">
            <w:pPr>
              <w:jc w:val="both"/>
            </w:pPr>
            <w:r w:rsidRPr="00A56DC6">
              <w:t xml:space="preserve">41 Rashodi za nabavu </w:t>
            </w:r>
            <w:proofErr w:type="spellStart"/>
            <w:r w:rsidRPr="00A56DC6">
              <w:t>neproizvedene</w:t>
            </w:r>
            <w:proofErr w:type="spellEnd"/>
            <w:r w:rsidRPr="00A56DC6">
              <w:t xml:space="preserve"> dugotrajne imovine </w:t>
            </w:r>
          </w:p>
        </w:tc>
        <w:tc>
          <w:tcPr>
            <w:tcW w:w="1224" w:type="dxa"/>
            <w:noWrap/>
            <w:hideMark/>
          </w:tcPr>
          <w:p w14:paraId="68CA6BA2" w14:textId="56770ACF" w:rsidR="000E5511" w:rsidRPr="00A56DC6" w:rsidRDefault="000E5511" w:rsidP="000E5511">
            <w:pPr>
              <w:jc w:val="both"/>
            </w:pPr>
            <w:r w:rsidRPr="00A56DC6">
              <w:t>601,20</w:t>
            </w:r>
          </w:p>
        </w:tc>
        <w:tc>
          <w:tcPr>
            <w:tcW w:w="1448" w:type="dxa"/>
            <w:noWrap/>
          </w:tcPr>
          <w:p w14:paraId="389026A7" w14:textId="1BEE1F71" w:rsidR="000E5511" w:rsidRPr="00A56DC6" w:rsidRDefault="00C2245C" w:rsidP="000E5511">
            <w:pPr>
              <w:jc w:val="both"/>
            </w:pPr>
            <w:r>
              <w:t>3.000,00</w:t>
            </w:r>
          </w:p>
        </w:tc>
        <w:tc>
          <w:tcPr>
            <w:tcW w:w="1393" w:type="dxa"/>
            <w:noWrap/>
          </w:tcPr>
          <w:p w14:paraId="542C16B1" w14:textId="77777777" w:rsidR="000E5511" w:rsidRDefault="00C2245C" w:rsidP="000E5511">
            <w:pPr>
              <w:jc w:val="both"/>
            </w:pPr>
            <w:r>
              <w:t>3.623,29</w:t>
            </w:r>
          </w:p>
          <w:p w14:paraId="0D27B7BA" w14:textId="136D2B1A" w:rsidR="00C2245C" w:rsidRPr="00A56DC6" w:rsidRDefault="00C2245C" w:rsidP="000E5511">
            <w:pPr>
              <w:jc w:val="both"/>
            </w:pPr>
          </w:p>
        </w:tc>
        <w:tc>
          <w:tcPr>
            <w:tcW w:w="1639" w:type="dxa"/>
            <w:noWrap/>
            <w:hideMark/>
          </w:tcPr>
          <w:p w14:paraId="47C012FE" w14:textId="580CE989" w:rsidR="000E5511" w:rsidRPr="00A56DC6" w:rsidRDefault="001F7266" w:rsidP="000E5511">
            <w:pPr>
              <w:jc w:val="both"/>
            </w:pPr>
            <w:r>
              <w:t>603</w:t>
            </w:r>
            <w:r w:rsidR="000E5511" w:rsidRPr="00A56DC6">
              <w:t>%</w:t>
            </w:r>
          </w:p>
        </w:tc>
        <w:tc>
          <w:tcPr>
            <w:tcW w:w="1133" w:type="dxa"/>
            <w:noWrap/>
            <w:hideMark/>
          </w:tcPr>
          <w:p w14:paraId="2EA56B7F" w14:textId="2F3F963B" w:rsidR="000E5511" w:rsidRPr="00A56DC6" w:rsidRDefault="00A77075" w:rsidP="000E5511">
            <w:pPr>
              <w:jc w:val="both"/>
            </w:pPr>
            <w:r>
              <w:t>121</w:t>
            </w:r>
            <w:r w:rsidR="000E5511" w:rsidRPr="00A56DC6">
              <w:t>%</w:t>
            </w:r>
          </w:p>
        </w:tc>
        <w:tc>
          <w:tcPr>
            <w:tcW w:w="1140" w:type="dxa"/>
            <w:noWrap/>
            <w:hideMark/>
          </w:tcPr>
          <w:p w14:paraId="1B19BD15" w14:textId="77777777" w:rsidR="000E5511" w:rsidRPr="00A56DC6" w:rsidRDefault="000E5511" w:rsidP="000E5511">
            <w:pPr>
              <w:jc w:val="both"/>
            </w:pPr>
            <w:r w:rsidRPr="00A56DC6">
              <w:t>0%</w:t>
            </w:r>
          </w:p>
        </w:tc>
      </w:tr>
      <w:tr w:rsidR="000E5511" w:rsidRPr="00A56DC6" w14:paraId="1BDE7607" w14:textId="77777777" w:rsidTr="001E39CD">
        <w:trPr>
          <w:trHeight w:val="600"/>
        </w:trPr>
        <w:tc>
          <w:tcPr>
            <w:tcW w:w="2923" w:type="dxa"/>
            <w:hideMark/>
          </w:tcPr>
          <w:p w14:paraId="16BE20DA" w14:textId="77777777" w:rsidR="000E5511" w:rsidRPr="00A56DC6" w:rsidRDefault="000E5511" w:rsidP="000E5511">
            <w:pPr>
              <w:jc w:val="both"/>
            </w:pPr>
            <w:r w:rsidRPr="00A56DC6">
              <w:t xml:space="preserve">42 Rashodi za nabavu proizvedene dugotrajne imovine </w:t>
            </w:r>
          </w:p>
        </w:tc>
        <w:tc>
          <w:tcPr>
            <w:tcW w:w="1224" w:type="dxa"/>
            <w:noWrap/>
            <w:hideMark/>
          </w:tcPr>
          <w:p w14:paraId="16FF05F1" w14:textId="3A94E6E3" w:rsidR="000E5511" w:rsidRPr="00A56DC6" w:rsidRDefault="000E5511" w:rsidP="000E5511">
            <w:pPr>
              <w:jc w:val="both"/>
            </w:pPr>
            <w:r w:rsidRPr="00A56DC6">
              <w:t>8.632,01</w:t>
            </w:r>
          </w:p>
        </w:tc>
        <w:tc>
          <w:tcPr>
            <w:tcW w:w="1448" w:type="dxa"/>
            <w:noWrap/>
          </w:tcPr>
          <w:p w14:paraId="5093B19C" w14:textId="031AD687" w:rsidR="000E5511" w:rsidRPr="00A56DC6" w:rsidRDefault="001E423C" w:rsidP="000E5511">
            <w:pPr>
              <w:jc w:val="both"/>
            </w:pPr>
            <w:r>
              <w:t>80.000,00</w:t>
            </w:r>
          </w:p>
        </w:tc>
        <w:tc>
          <w:tcPr>
            <w:tcW w:w="1393" w:type="dxa"/>
            <w:noWrap/>
          </w:tcPr>
          <w:p w14:paraId="4D119D51" w14:textId="33EC9689" w:rsidR="000E5511" w:rsidRPr="00A56DC6" w:rsidRDefault="001E423C" w:rsidP="000E5511">
            <w:pPr>
              <w:jc w:val="both"/>
            </w:pPr>
            <w:r>
              <w:t>56.104,47</w:t>
            </w:r>
          </w:p>
        </w:tc>
        <w:tc>
          <w:tcPr>
            <w:tcW w:w="1639" w:type="dxa"/>
            <w:noWrap/>
            <w:hideMark/>
          </w:tcPr>
          <w:p w14:paraId="37CCF8A1" w14:textId="40ED807C" w:rsidR="000E5511" w:rsidRPr="00A56DC6" w:rsidRDefault="00C026A7" w:rsidP="000E5511">
            <w:pPr>
              <w:jc w:val="both"/>
            </w:pPr>
            <w:r>
              <w:t>650</w:t>
            </w:r>
            <w:r w:rsidR="000E5511" w:rsidRPr="00A56DC6">
              <w:t>%</w:t>
            </w:r>
          </w:p>
        </w:tc>
        <w:tc>
          <w:tcPr>
            <w:tcW w:w="1133" w:type="dxa"/>
            <w:noWrap/>
            <w:hideMark/>
          </w:tcPr>
          <w:p w14:paraId="4D6B07E9" w14:textId="77346A07" w:rsidR="000E5511" w:rsidRPr="00A56DC6" w:rsidRDefault="00A77075" w:rsidP="000E5511">
            <w:pPr>
              <w:jc w:val="both"/>
            </w:pPr>
            <w:r>
              <w:t>70</w:t>
            </w:r>
            <w:r w:rsidR="000E5511" w:rsidRPr="00A56DC6">
              <w:t>%</w:t>
            </w:r>
          </w:p>
        </w:tc>
        <w:tc>
          <w:tcPr>
            <w:tcW w:w="1140" w:type="dxa"/>
            <w:noWrap/>
            <w:hideMark/>
          </w:tcPr>
          <w:p w14:paraId="1E1B642B" w14:textId="434F1A34" w:rsidR="000E5511" w:rsidRPr="00A56DC6" w:rsidRDefault="006F53AF" w:rsidP="000E5511">
            <w:pPr>
              <w:jc w:val="both"/>
            </w:pPr>
            <w:r>
              <w:t>7</w:t>
            </w:r>
            <w:r w:rsidR="000E5511" w:rsidRPr="00A56DC6">
              <w:t>%</w:t>
            </w:r>
          </w:p>
        </w:tc>
      </w:tr>
    </w:tbl>
    <w:p w14:paraId="7E68C5E1" w14:textId="7F4310CC" w:rsidR="00A56DC6" w:rsidRDefault="00A56DC6" w:rsidP="00522E5A">
      <w:pPr>
        <w:jc w:val="both"/>
      </w:pPr>
      <w:r>
        <w:fldChar w:fldCharType="begin"/>
      </w:r>
      <w:r>
        <w:instrText xml:space="preserve"> LINK </w:instrText>
      </w:r>
      <w:r w:rsidR="00E364EB">
        <w:instrText xml:space="preserve">Excel.Sheet.12 https://alphacapitalishr.sharepoint.com/sites/Racunovodstvo/Shared%20Documents/01%20Klijenti/pučko/IZVJEŠTAJI%20PUČKO/PR-RAS%206-2024/izvještaj%20o%20izvršenju%20plana%206-2024/IZVJEŠTAJ%206-2024.xlsx List2!R1C1:R10C7 </w:instrText>
      </w:r>
      <w:r>
        <w:instrText xml:space="preserve">\a \f 5 \h  \* MERGEFORMAT </w:instrText>
      </w:r>
      <w:r>
        <w:fldChar w:fldCharType="separate"/>
      </w:r>
    </w:p>
    <w:p w14:paraId="06ECFF28" w14:textId="71A87E5A" w:rsidR="00424B69" w:rsidRPr="00A56DC6" w:rsidRDefault="00A56DC6" w:rsidP="00E339F4">
      <w:pPr>
        <w:jc w:val="both"/>
      </w:pPr>
      <w:r>
        <w:fldChar w:fldCharType="end"/>
      </w:r>
    </w:p>
    <w:p w14:paraId="14C5F368" w14:textId="4C2997DB" w:rsidR="000521C8" w:rsidRPr="00F05485" w:rsidRDefault="000521C8" w:rsidP="000521C8">
      <w:pPr>
        <w:ind w:firstLine="708"/>
        <w:jc w:val="both"/>
      </w:pPr>
      <w:r w:rsidRPr="00F05485">
        <w:t>Ukupno izvršeni rashodi i izdaci u razdoblju od 01.01. – 30.06.202</w:t>
      </w:r>
      <w:r w:rsidR="006F53AF">
        <w:t>5</w:t>
      </w:r>
      <w:r w:rsidRPr="00F05485">
        <w:t xml:space="preserve">. godine iznose </w:t>
      </w:r>
      <w:r w:rsidR="006F53AF">
        <w:t>822.25</w:t>
      </w:r>
      <w:r w:rsidR="00903B8C">
        <w:t>3</w:t>
      </w:r>
      <w:r w:rsidR="006F53AF">
        <w:t>,8</w:t>
      </w:r>
      <w:r w:rsidR="00903B8C">
        <w:t>1</w:t>
      </w:r>
      <w:r w:rsidR="00260326">
        <w:t xml:space="preserve"> EUR </w:t>
      </w:r>
      <w:r w:rsidRPr="00F05485">
        <w:t xml:space="preserve">ili </w:t>
      </w:r>
      <w:r w:rsidR="00BD1B99">
        <w:t>45</w:t>
      </w:r>
      <w:r w:rsidRPr="00F05485">
        <w:t xml:space="preserve">% proračunom planiranih rashoda i izdataka, a u odnosu na isto </w:t>
      </w:r>
      <w:r>
        <w:t xml:space="preserve">polugodišnje </w:t>
      </w:r>
      <w:r w:rsidRPr="00F05485">
        <w:t>razdoblje 202</w:t>
      </w:r>
      <w:r w:rsidR="00BD1B99">
        <w:t>4</w:t>
      </w:r>
      <w:r w:rsidRPr="00F05485">
        <w:t xml:space="preserve">. godine </w:t>
      </w:r>
      <w:r>
        <w:t>veći s</w:t>
      </w:r>
      <w:r w:rsidRPr="00F05485">
        <w:t xml:space="preserve">u za </w:t>
      </w:r>
      <w:r w:rsidR="00533C3D">
        <w:t>61</w:t>
      </w:r>
      <w:r w:rsidRPr="00F05485">
        <w:t>%.</w:t>
      </w:r>
    </w:p>
    <w:p w14:paraId="09179881" w14:textId="508CAAA4" w:rsidR="000521C8" w:rsidRPr="00C175B2" w:rsidRDefault="000521C8" w:rsidP="000521C8">
      <w:pPr>
        <w:ind w:firstLine="709"/>
        <w:jc w:val="both"/>
      </w:pPr>
      <w:r w:rsidRPr="00C175B2">
        <w:t xml:space="preserve">U strukturi ukupno izvršenih rashoda i izdataka najveći udio imaju rashodi poslovanja koji su izvršeni u iznosu od </w:t>
      </w:r>
      <w:r w:rsidR="00533C3D">
        <w:t>762.526,05</w:t>
      </w:r>
      <w:r w:rsidR="00FB06C8">
        <w:t xml:space="preserve"> </w:t>
      </w:r>
      <w:r>
        <w:t xml:space="preserve">EUR  </w:t>
      </w:r>
      <w:r w:rsidRPr="00C175B2">
        <w:t xml:space="preserve"> ili sa </w:t>
      </w:r>
      <w:r>
        <w:t>9</w:t>
      </w:r>
      <w:r w:rsidR="006C6343">
        <w:t>3</w:t>
      </w:r>
      <w:r w:rsidRPr="00C175B2">
        <w:t xml:space="preserve">% udjela, zatim rashodi za nabavu nefinancijske imovine koji su izvršeni u iznosu od </w:t>
      </w:r>
      <w:r w:rsidR="006C6343">
        <w:t>59.727,76</w:t>
      </w:r>
      <w:r>
        <w:t xml:space="preserve"> EUR </w:t>
      </w:r>
      <w:r w:rsidRPr="00C175B2">
        <w:t xml:space="preserve"> ili sa </w:t>
      </w:r>
      <w:r w:rsidR="006C6343">
        <w:t>7</w:t>
      </w:r>
      <w:r w:rsidRPr="00C175B2">
        <w:t xml:space="preserve">% udjela, </w:t>
      </w:r>
    </w:p>
    <w:p w14:paraId="6942376C" w14:textId="3CA25305" w:rsidR="000521C8" w:rsidRPr="008044AD" w:rsidRDefault="000521C8" w:rsidP="000521C8">
      <w:pPr>
        <w:pStyle w:val="TEKST-JOSIPAA"/>
        <w:spacing w:after="0"/>
        <w:rPr>
          <w:rFonts w:asciiTheme="minorHAnsi" w:hAnsiTheme="minorHAnsi" w:cstheme="minorHAnsi"/>
        </w:rPr>
      </w:pPr>
      <w:r w:rsidRPr="008044AD">
        <w:rPr>
          <w:rFonts w:asciiTheme="minorHAnsi" w:hAnsiTheme="minorHAnsi" w:cstheme="minorHAnsi"/>
        </w:rPr>
        <w:t>Razlika ostvarenih prihoda/primitaka i izvršenih rashoda/izdataka proračuna tijekom 202</w:t>
      </w:r>
      <w:r w:rsidR="006C6343">
        <w:rPr>
          <w:rFonts w:asciiTheme="minorHAnsi" w:hAnsiTheme="minorHAnsi" w:cstheme="minorHAnsi"/>
        </w:rPr>
        <w:t>5</w:t>
      </w:r>
      <w:r w:rsidRPr="008044AD">
        <w:rPr>
          <w:rFonts w:asciiTheme="minorHAnsi" w:hAnsiTheme="minorHAnsi" w:cstheme="minorHAnsi"/>
        </w:rPr>
        <w:t xml:space="preserve">. godine je tekući suficit proračuna u iznosu od </w:t>
      </w:r>
      <w:r w:rsidR="006C6343">
        <w:rPr>
          <w:rFonts w:asciiTheme="minorHAnsi" w:hAnsiTheme="minorHAnsi" w:cstheme="minorHAnsi"/>
          <w:sz w:val="22"/>
          <w:szCs w:val="22"/>
        </w:rPr>
        <w:t>49.632,54</w:t>
      </w:r>
      <w:r w:rsidR="00FB06C8" w:rsidRPr="008044AD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7B795C74" w14:textId="77777777" w:rsidR="000521C8" w:rsidRDefault="000521C8" w:rsidP="00E339F4">
      <w:pPr>
        <w:jc w:val="both"/>
      </w:pPr>
    </w:p>
    <w:p w14:paraId="611699D6" w14:textId="0DB0D79B" w:rsidR="00424B69" w:rsidRPr="00424B69" w:rsidRDefault="00424B69" w:rsidP="00424B69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424B69">
        <w:rPr>
          <w:b/>
          <w:bCs/>
        </w:rPr>
        <w:lastRenderedPageBreak/>
        <w:t>RASHODI POSLOVANJA</w:t>
      </w:r>
    </w:p>
    <w:p w14:paraId="544BFB39" w14:textId="2982570E" w:rsidR="00424B69" w:rsidRPr="009F70C4" w:rsidRDefault="00424B69" w:rsidP="00424B69">
      <w:pPr>
        <w:jc w:val="both"/>
        <w:rPr>
          <w:b/>
          <w:bCs/>
        </w:rPr>
      </w:pPr>
      <w:r>
        <w:t>Rashodi poslo</w:t>
      </w:r>
      <w:r w:rsidR="00527911">
        <w:t xml:space="preserve">vanja (razred 3 – rashodi za zaposlene, materijalni rashodi) za </w:t>
      </w:r>
      <w:r w:rsidR="00FB06C8">
        <w:t>razdoblje od 1-6.202</w:t>
      </w:r>
      <w:r w:rsidR="00CC3A9B">
        <w:t>5</w:t>
      </w:r>
      <w:r w:rsidR="00FB06C8">
        <w:t xml:space="preserve"> </w:t>
      </w:r>
      <w:r w:rsidR="00527911">
        <w:t xml:space="preserve">. </w:t>
      </w:r>
      <w:r w:rsidR="00FB06C8">
        <w:t xml:space="preserve">izvršeni su </w:t>
      </w:r>
      <w:r w:rsidR="00527911">
        <w:t xml:space="preserve"> u iznosu od</w:t>
      </w:r>
      <w:r w:rsidR="00DD5C60">
        <w:t xml:space="preserve"> </w:t>
      </w:r>
      <w:r w:rsidR="00CC3A9B">
        <w:t>762.526,05</w:t>
      </w:r>
      <w:r w:rsidR="006C4F5F">
        <w:t xml:space="preserve"> EUR</w:t>
      </w:r>
      <w:r w:rsidR="00527911">
        <w:t>,</w:t>
      </w:r>
      <w:r w:rsidR="00EA3613">
        <w:t xml:space="preserve"> </w:t>
      </w:r>
      <w:r w:rsidR="00FB06C8">
        <w:t xml:space="preserve"> što predstavlja izvršenje od </w:t>
      </w:r>
      <w:r w:rsidR="00CC3A9B">
        <w:t>43</w:t>
      </w:r>
      <w:r w:rsidR="00FB06C8">
        <w:t>% u odnosu na plan za 202</w:t>
      </w:r>
      <w:r w:rsidR="00CC3A9B">
        <w:t>5</w:t>
      </w:r>
      <w:r w:rsidR="00FB06C8">
        <w:t xml:space="preserve">, te predstavlja povećanje za </w:t>
      </w:r>
      <w:r w:rsidR="00CC3A9B">
        <w:t>52</w:t>
      </w:r>
      <w:r w:rsidR="00FB06C8">
        <w:t>% u odnosu na isto razdoblje 20</w:t>
      </w:r>
      <w:r w:rsidR="00CC3A9B">
        <w:t>25</w:t>
      </w:r>
      <w:r w:rsidR="00FB06C8">
        <w:t xml:space="preserve">., a  odnose se na </w:t>
      </w:r>
    </w:p>
    <w:p w14:paraId="6128ED4D" w14:textId="108E5CA8" w:rsidR="00527911" w:rsidRDefault="00527911" w:rsidP="00424B69">
      <w:pPr>
        <w:jc w:val="both"/>
      </w:pPr>
      <w:r>
        <w:tab/>
      </w:r>
      <w:r w:rsidRPr="00527911">
        <w:rPr>
          <w:b/>
          <w:bCs/>
        </w:rPr>
        <w:t>31</w:t>
      </w:r>
      <w:r w:rsidR="00FB06C8">
        <w:rPr>
          <w:b/>
          <w:bCs/>
        </w:rPr>
        <w:t xml:space="preserve">- Rashodi za zaposlene  </w:t>
      </w:r>
      <w:r>
        <w:t xml:space="preserve"> – </w:t>
      </w:r>
      <w:r w:rsidR="00FB06C8">
        <w:t xml:space="preserve"> </w:t>
      </w:r>
      <w:r w:rsidR="00FB06C8" w:rsidRPr="008044AD">
        <w:rPr>
          <w:b/>
          <w:bCs/>
        </w:rPr>
        <w:t>izvršeni su u iznosu od</w:t>
      </w:r>
      <w:r w:rsidR="006C4F5F">
        <w:rPr>
          <w:b/>
          <w:bCs/>
        </w:rPr>
        <w:t xml:space="preserve"> </w:t>
      </w:r>
      <w:r w:rsidR="00CC3A9B">
        <w:rPr>
          <w:b/>
          <w:bCs/>
        </w:rPr>
        <w:t>360.637,99</w:t>
      </w:r>
      <w:r w:rsidR="006C4F5F">
        <w:rPr>
          <w:b/>
          <w:bCs/>
        </w:rPr>
        <w:t xml:space="preserve"> EUR </w:t>
      </w:r>
      <w:r w:rsidR="00FB06C8">
        <w:t xml:space="preserve">, što predstavlja izvršenje u odnosu na plan od </w:t>
      </w:r>
      <w:r w:rsidR="00CC3A9B">
        <w:t>41</w:t>
      </w:r>
      <w:r w:rsidR="00FB06C8">
        <w:t xml:space="preserve">%, te u veći za </w:t>
      </w:r>
      <w:r w:rsidR="00CC3A9B">
        <w:t>62</w:t>
      </w:r>
      <w:r w:rsidR="00FB06C8">
        <w:t>% u odnosu na isto razdoblje 202</w:t>
      </w:r>
      <w:r w:rsidR="00CC3A9B">
        <w:t>4</w:t>
      </w:r>
      <w:r w:rsidR="00FB06C8">
        <w:t>, a udio u ukupnim rashodima poslovanja  iznosi 4</w:t>
      </w:r>
      <w:r w:rsidR="006C4F5F">
        <w:t>4</w:t>
      </w:r>
      <w:r w:rsidR="00FB06C8">
        <w:t xml:space="preserve">%,  a odnose se na rashode za zaposlene koje </w:t>
      </w:r>
      <w:r>
        <w:t xml:space="preserve">obuhvaćaju bruto plaće, doprinose na plaću i ostale rashode za </w:t>
      </w:r>
      <w:r w:rsidR="006C4F5F">
        <w:t>20</w:t>
      </w:r>
      <w:r>
        <w:t xml:space="preserve"> zaposlenih</w:t>
      </w:r>
      <w:r w:rsidR="009D1A28">
        <w:t xml:space="preserve"> te novo radno mjesto referenta za tehničke i opće poslove</w:t>
      </w:r>
      <w:r>
        <w:t xml:space="preserve">. </w:t>
      </w:r>
      <w:r w:rsidR="00FB06C8">
        <w:t>Izvršeni su u iznosu kako slijedi:</w:t>
      </w:r>
    </w:p>
    <w:p w14:paraId="1974258F" w14:textId="0D8F3059" w:rsidR="00946046" w:rsidRDefault="00946046" w:rsidP="00946046">
      <w:pPr>
        <w:pStyle w:val="Odlomakpopisa"/>
        <w:numPr>
          <w:ilvl w:val="0"/>
          <w:numId w:val="2"/>
        </w:numPr>
        <w:jc w:val="both"/>
      </w:pPr>
      <w:r>
        <w:t xml:space="preserve">311 </w:t>
      </w:r>
      <w:r w:rsidR="004F2325">
        <w:t>- bruto plaća (</w:t>
      </w:r>
      <w:r w:rsidR="004912BA">
        <w:t xml:space="preserve"> </w:t>
      </w:r>
      <w:r w:rsidR="00C22AE9">
        <w:t>271.442,90</w:t>
      </w:r>
      <w:r w:rsidR="004912BA">
        <w:t xml:space="preserve"> </w:t>
      </w:r>
      <w:r w:rsidR="006C4F5F">
        <w:t>EUR</w:t>
      </w:r>
      <w:r w:rsidR="004912BA">
        <w:t xml:space="preserve"> </w:t>
      </w:r>
      <w:r w:rsidR="004F2325">
        <w:t>)</w:t>
      </w:r>
    </w:p>
    <w:p w14:paraId="143BC2DD" w14:textId="1E82BEA2" w:rsidR="00946046" w:rsidRDefault="004F2325" w:rsidP="00946046">
      <w:pPr>
        <w:pStyle w:val="Odlomakpopisa"/>
        <w:numPr>
          <w:ilvl w:val="0"/>
          <w:numId w:val="2"/>
        </w:numPr>
        <w:jc w:val="both"/>
      </w:pPr>
      <w:r>
        <w:t>312 -</w:t>
      </w:r>
      <w:r w:rsidR="00946046">
        <w:t xml:space="preserve"> ostali rashodi za zaposlene – jubilarne</w:t>
      </w:r>
      <w:r w:rsidR="009D1A28">
        <w:t xml:space="preserve"> nagrade</w:t>
      </w:r>
      <w:r w:rsidR="00946046">
        <w:t>, regres, božićnica, dar djeci, naknada za prehranu</w:t>
      </w:r>
      <w:r w:rsidR="009D1A28">
        <w:t>, naknada u slučaju smrti i sl. sukladno Pravilniku o radu Učilišta</w:t>
      </w:r>
      <w:r w:rsidR="00946046">
        <w:t xml:space="preserve"> </w:t>
      </w:r>
      <w:r>
        <w:t>(</w:t>
      </w:r>
      <w:r w:rsidR="00C22AE9">
        <w:t xml:space="preserve">49.460,19 </w:t>
      </w:r>
      <w:r w:rsidR="0084629F">
        <w:t>EUR</w:t>
      </w:r>
      <w:r>
        <w:t>)</w:t>
      </w:r>
    </w:p>
    <w:p w14:paraId="305705AA" w14:textId="1269EE96" w:rsidR="00946046" w:rsidRDefault="004F2325" w:rsidP="00946046">
      <w:pPr>
        <w:pStyle w:val="Odlomakpopisa"/>
        <w:numPr>
          <w:ilvl w:val="0"/>
          <w:numId w:val="2"/>
        </w:numPr>
        <w:jc w:val="both"/>
      </w:pPr>
      <w:r>
        <w:t>313 - doprinosi na plaću (</w:t>
      </w:r>
      <w:r w:rsidR="00C22AE9">
        <w:t xml:space="preserve">39.734,90 </w:t>
      </w:r>
      <w:r w:rsidR="0084629F">
        <w:t xml:space="preserve">EUR </w:t>
      </w:r>
      <w:r>
        <w:t>)</w:t>
      </w:r>
      <w:r w:rsidR="009D1A28">
        <w:t>.</w:t>
      </w:r>
    </w:p>
    <w:p w14:paraId="29A6104E" w14:textId="7A65F215" w:rsidR="00170374" w:rsidRDefault="00170374" w:rsidP="00946046">
      <w:pPr>
        <w:jc w:val="both"/>
      </w:pPr>
      <w:r>
        <w:t xml:space="preserve">Rashodi za zaposlene financiraju se </w:t>
      </w:r>
      <w:r w:rsidR="00D30641">
        <w:t>najvećim dijelom</w:t>
      </w:r>
      <w:r>
        <w:t xml:space="preserve"> iz prihoda iz nadležnog proračuna Grada Samobora</w:t>
      </w:r>
      <w:r w:rsidR="00D30641">
        <w:t xml:space="preserve">, dok se neznatan dio financira iz pomoći. </w:t>
      </w:r>
    </w:p>
    <w:p w14:paraId="53B66122" w14:textId="746D7DB6" w:rsidR="00946046" w:rsidRDefault="00946046" w:rsidP="00946046">
      <w:pPr>
        <w:jc w:val="both"/>
      </w:pPr>
      <w:r>
        <w:tab/>
      </w:r>
      <w:r w:rsidRPr="00D404EC">
        <w:rPr>
          <w:b/>
          <w:bCs/>
        </w:rPr>
        <w:t>32 –</w:t>
      </w:r>
      <w:r w:rsidR="00992A1D">
        <w:rPr>
          <w:b/>
          <w:bCs/>
        </w:rPr>
        <w:t xml:space="preserve"> Materijalni rashodi </w:t>
      </w:r>
      <w:r w:rsidR="00992A1D" w:rsidRPr="0084629F">
        <w:rPr>
          <w:b/>
          <w:bCs/>
        </w:rPr>
        <w:t xml:space="preserve">- </w:t>
      </w:r>
      <w:r w:rsidRPr="0084629F">
        <w:rPr>
          <w:b/>
          <w:bCs/>
        </w:rPr>
        <w:t xml:space="preserve"> </w:t>
      </w:r>
      <w:r w:rsidR="00992A1D" w:rsidRPr="0084629F">
        <w:rPr>
          <w:b/>
          <w:bCs/>
        </w:rPr>
        <w:t xml:space="preserve">izvršeni su u iznosu od </w:t>
      </w:r>
      <w:r w:rsidR="00986893">
        <w:rPr>
          <w:b/>
          <w:bCs/>
        </w:rPr>
        <w:t>401.032,22</w:t>
      </w:r>
      <w:r w:rsidR="0084629F" w:rsidRPr="0084629F">
        <w:rPr>
          <w:b/>
          <w:bCs/>
        </w:rPr>
        <w:t xml:space="preserve"> EUR</w:t>
      </w:r>
      <w:r w:rsidR="0084629F">
        <w:t xml:space="preserve"> </w:t>
      </w:r>
      <w:r w:rsidR="00992A1D">
        <w:t xml:space="preserve">, što predstavlja izvršenje u odnosu na plan od </w:t>
      </w:r>
      <w:r w:rsidR="00986893">
        <w:t>41</w:t>
      </w:r>
      <w:r w:rsidR="00992A1D">
        <w:t xml:space="preserve">%, te su veći za </w:t>
      </w:r>
      <w:r w:rsidR="005E6E99">
        <w:t>44</w:t>
      </w:r>
      <w:r w:rsidR="0084629F">
        <w:t xml:space="preserve"> </w:t>
      </w:r>
      <w:r w:rsidR="00992A1D">
        <w:t>% u odnosu na isto razdoblje 202</w:t>
      </w:r>
      <w:r w:rsidR="005E6E99">
        <w:t>4</w:t>
      </w:r>
      <w:r w:rsidR="00992A1D">
        <w:t xml:space="preserve">, a udio u ukupnim rashodima poslovanja  iznosi </w:t>
      </w:r>
      <w:r w:rsidR="005E6E99">
        <w:t>49</w:t>
      </w:r>
      <w:r w:rsidR="00992A1D">
        <w:t>%.</w:t>
      </w:r>
    </w:p>
    <w:p w14:paraId="24FDDCAD" w14:textId="330E5864" w:rsidR="00992A1D" w:rsidRPr="007D12F7" w:rsidRDefault="00992A1D" w:rsidP="00992A1D">
      <w:pPr>
        <w:ind w:firstLine="720"/>
        <w:jc w:val="both"/>
        <w:rPr>
          <w:bCs/>
        </w:rPr>
      </w:pPr>
      <w:r w:rsidRPr="007D12F7">
        <w:rPr>
          <w:bCs/>
        </w:rPr>
        <w:t xml:space="preserve">Najveći udio u ovim rashodima odnosi se na rashode za usluge koji iznose </w:t>
      </w:r>
      <w:r w:rsidR="000A30DF">
        <w:rPr>
          <w:bCs/>
        </w:rPr>
        <w:t>323.062,54</w:t>
      </w:r>
      <w:r w:rsidR="00981592">
        <w:rPr>
          <w:bCs/>
        </w:rPr>
        <w:t xml:space="preserve"> EUR</w:t>
      </w:r>
      <w:r>
        <w:rPr>
          <w:bCs/>
        </w:rPr>
        <w:t xml:space="preserve">, </w:t>
      </w:r>
      <w:r w:rsidRPr="007D12F7">
        <w:rPr>
          <w:bCs/>
        </w:rPr>
        <w:t xml:space="preserve"> zatim na rashode za materijal i energiju u iznosu od </w:t>
      </w:r>
      <w:r>
        <w:rPr>
          <w:bCs/>
        </w:rPr>
        <w:t>3</w:t>
      </w:r>
      <w:r w:rsidR="000A30DF">
        <w:rPr>
          <w:bCs/>
        </w:rPr>
        <w:t>6.083,00</w:t>
      </w:r>
      <w:r w:rsidR="00B013BB">
        <w:rPr>
          <w:bCs/>
        </w:rPr>
        <w:t xml:space="preserve"> EUR</w:t>
      </w:r>
      <w:r w:rsidR="000A30DF">
        <w:rPr>
          <w:bCs/>
        </w:rPr>
        <w:t>, naknade troškova zaposlenima u iznosu od 30.505,28</w:t>
      </w:r>
      <w:r w:rsidR="00222353">
        <w:rPr>
          <w:bCs/>
        </w:rPr>
        <w:t xml:space="preserve"> EUR, </w:t>
      </w:r>
      <w:r w:rsidRPr="007D12F7">
        <w:rPr>
          <w:bCs/>
        </w:rPr>
        <w:t xml:space="preserve"> te ostali nespomenuti rashodi poslovanja u iznosu od </w:t>
      </w:r>
      <w:r>
        <w:rPr>
          <w:bCs/>
        </w:rPr>
        <w:t>1</w:t>
      </w:r>
      <w:r w:rsidR="00222353">
        <w:rPr>
          <w:bCs/>
        </w:rPr>
        <w:t>1.381,40</w:t>
      </w:r>
      <w:r w:rsidR="00B013BB">
        <w:rPr>
          <w:bCs/>
        </w:rPr>
        <w:t xml:space="preserve"> EUR</w:t>
      </w:r>
      <w:r w:rsidRPr="007D12F7">
        <w:rPr>
          <w:bCs/>
        </w:rPr>
        <w:t>, dok rashodi za naknade troškova osobama izvan radnog odnosa nisu realizirani.</w:t>
      </w:r>
    </w:p>
    <w:p w14:paraId="218FCED1" w14:textId="77777777" w:rsidR="00992A1D" w:rsidRPr="00D404EC" w:rsidRDefault="00992A1D" w:rsidP="00946046">
      <w:pPr>
        <w:jc w:val="both"/>
        <w:rPr>
          <w:b/>
          <w:bCs/>
        </w:rPr>
      </w:pPr>
    </w:p>
    <w:p w14:paraId="3D755CED" w14:textId="2F79BBFB" w:rsidR="004D678E" w:rsidRDefault="00913D0D" w:rsidP="00913D0D">
      <w:pPr>
        <w:jc w:val="both"/>
      </w:pPr>
      <w:r>
        <w:t xml:space="preserve">Materijalni rashodi </w:t>
      </w:r>
      <w:r w:rsidR="00992A1D">
        <w:t>izvršeni su kako slijedi:</w:t>
      </w:r>
    </w:p>
    <w:p w14:paraId="29BBAB86" w14:textId="029285A5" w:rsidR="00EE743B" w:rsidRDefault="00913D0D" w:rsidP="00913D0D">
      <w:pPr>
        <w:jc w:val="both"/>
      </w:pPr>
      <w:r>
        <w:tab/>
      </w:r>
      <w:r w:rsidRPr="00913D0D">
        <w:rPr>
          <w:b/>
          <w:bCs/>
        </w:rPr>
        <w:t>321</w:t>
      </w:r>
      <w:r w:rsidR="004F2325">
        <w:rPr>
          <w:b/>
          <w:bCs/>
        </w:rPr>
        <w:t xml:space="preserve"> </w:t>
      </w:r>
      <w:r w:rsidR="004F2325">
        <w:t>–</w:t>
      </w:r>
      <w:r>
        <w:t xml:space="preserve"> </w:t>
      </w:r>
      <w:r w:rsidRPr="00D404EC">
        <w:rPr>
          <w:b/>
          <w:bCs/>
        </w:rPr>
        <w:t>Naknade</w:t>
      </w:r>
      <w:r w:rsidR="004F2325">
        <w:rPr>
          <w:b/>
          <w:bCs/>
        </w:rPr>
        <w:t xml:space="preserve"> </w:t>
      </w:r>
      <w:r w:rsidRPr="00D404EC">
        <w:rPr>
          <w:b/>
          <w:bCs/>
        </w:rPr>
        <w:t>troškova zaposlenima</w:t>
      </w:r>
      <w:r>
        <w:t xml:space="preserve"> </w:t>
      </w:r>
      <w:r w:rsidR="005E6E99">
        <w:rPr>
          <w:b/>
          <w:bCs/>
        </w:rPr>
        <w:t>30.505,28</w:t>
      </w:r>
      <w:r w:rsidR="007E07FF">
        <w:rPr>
          <w:b/>
          <w:bCs/>
        </w:rPr>
        <w:t xml:space="preserve"> EUR</w:t>
      </w:r>
      <w:r w:rsidR="004912BA">
        <w:rPr>
          <w:b/>
          <w:bCs/>
        </w:rPr>
        <w:t xml:space="preserve">, </w:t>
      </w:r>
      <w:r w:rsidR="004F2325">
        <w:t>–</w:t>
      </w:r>
      <w:r w:rsidR="00D404EC">
        <w:t xml:space="preserve"> </w:t>
      </w:r>
      <w:r>
        <w:t>koje</w:t>
      </w:r>
      <w:r w:rsidR="004F2325">
        <w:t xml:space="preserve"> </w:t>
      </w:r>
      <w:r>
        <w:t>se odnose na</w:t>
      </w:r>
      <w:r w:rsidR="00C71415">
        <w:t>:</w:t>
      </w:r>
      <w:r>
        <w:t xml:space="preserve"> </w:t>
      </w:r>
    </w:p>
    <w:p w14:paraId="0C0DAABD" w14:textId="3B99CF3E" w:rsidR="00EE743B" w:rsidRDefault="00EE743B" w:rsidP="00913D0D">
      <w:pPr>
        <w:jc w:val="both"/>
      </w:pPr>
      <w:r>
        <w:t xml:space="preserve">3212 - </w:t>
      </w:r>
      <w:r w:rsidR="00913D0D">
        <w:t>naknade troškova prijevoza na posao i s posla</w:t>
      </w:r>
      <w:r w:rsidR="00D234DB">
        <w:t xml:space="preserve">  </w:t>
      </w:r>
      <w:r w:rsidR="00170374">
        <w:t>(</w:t>
      </w:r>
      <w:r w:rsidR="00C05D9C">
        <w:t>12.735,83</w:t>
      </w:r>
      <w:r w:rsidR="008B1FE0">
        <w:t xml:space="preserve"> EUR)</w:t>
      </w:r>
    </w:p>
    <w:p w14:paraId="6AE927C8" w14:textId="7FAD3D48" w:rsidR="00EE743B" w:rsidRDefault="00EE743B" w:rsidP="00913D0D">
      <w:pPr>
        <w:jc w:val="both"/>
      </w:pPr>
      <w:r>
        <w:t>3211</w:t>
      </w:r>
      <w:r w:rsidR="00913D0D">
        <w:t xml:space="preserve"> </w:t>
      </w:r>
      <w:r w:rsidR="009D1A28">
        <w:t xml:space="preserve">- </w:t>
      </w:r>
      <w:r w:rsidR="00C71415">
        <w:t>troškove službenih putovanja (</w:t>
      </w:r>
      <w:r w:rsidR="00C05D9C">
        <w:t>12.928,26</w:t>
      </w:r>
      <w:r w:rsidR="008B7F4B">
        <w:t xml:space="preserve"> EUR</w:t>
      </w:r>
      <w:r w:rsidR="00C71415">
        <w:t xml:space="preserve">) </w:t>
      </w:r>
    </w:p>
    <w:p w14:paraId="0DD22356" w14:textId="22B0F811" w:rsidR="00913D0D" w:rsidRDefault="00EE743B" w:rsidP="00913D0D">
      <w:pPr>
        <w:jc w:val="both"/>
      </w:pPr>
      <w:r>
        <w:t xml:space="preserve">3213 - </w:t>
      </w:r>
      <w:r w:rsidR="00913D0D">
        <w:t xml:space="preserve">stručno usavršavanje zaposlenika </w:t>
      </w:r>
      <w:r w:rsidR="00170374">
        <w:t>(</w:t>
      </w:r>
      <w:r w:rsidR="00C05D9C">
        <w:t>4.770,99</w:t>
      </w:r>
      <w:r w:rsidR="001833CC">
        <w:t>EUR</w:t>
      </w:r>
      <w:r w:rsidR="00170374">
        <w:t>)</w:t>
      </w:r>
    </w:p>
    <w:p w14:paraId="2A23EC0B" w14:textId="5609DBC4" w:rsidR="00C71415" w:rsidRDefault="00C71415" w:rsidP="00913D0D">
      <w:pPr>
        <w:jc w:val="both"/>
      </w:pPr>
      <w:r>
        <w:t xml:space="preserve">3214 </w:t>
      </w:r>
      <w:r w:rsidR="004F2325">
        <w:t>-</w:t>
      </w:r>
      <w:r>
        <w:t xml:space="preserve"> ostale </w:t>
      </w:r>
      <w:r w:rsidR="004F2325">
        <w:t>naknade (</w:t>
      </w:r>
      <w:r w:rsidR="00C05D9C">
        <w:t>70,20</w:t>
      </w:r>
      <w:r w:rsidR="005413FF">
        <w:t xml:space="preserve"> EUR</w:t>
      </w:r>
      <w:r>
        <w:t>)</w:t>
      </w:r>
    </w:p>
    <w:p w14:paraId="51696563" w14:textId="6626C2AC" w:rsidR="00EE743B" w:rsidRDefault="00517049" w:rsidP="00913D0D">
      <w:pPr>
        <w:jc w:val="both"/>
      </w:pPr>
      <w:r>
        <w:t xml:space="preserve">Naknade troškova zaposlenima izvršeni su  </w:t>
      </w:r>
      <w:r w:rsidR="00284316">
        <w:t>66</w:t>
      </w:r>
      <w:r>
        <w:t>% u odnosu na plan za 202</w:t>
      </w:r>
      <w:r w:rsidR="00284316">
        <w:t>5</w:t>
      </w:r>
      <w:r>
        <w:t xml:space="preserve">, dok su se u odnosu na isto razdoblje prošle godine </w:t>
      </w:r>
      <w:r w:rsidR="00284316">
        <w:t>povećali za 62</w:t>
      </w:r>
      <w:r>
        <w:t xml:space="preserve">%, dok  im udio u ukupnim materijalnim rashodima  iznosi </w:t>
      </w:r>
      <w:r w:rsidR="00BE0325">
        <w:t>4</w:t>
      </w:r>
      <w:r>
        <w:t>%</w:t>
      </w:r>
    </w:p>
    <w:p w14:paraId="4B73DC03" w14:textId="6C6E8B61" w:rsidR="00EE743B" w:rsidRDefault="00913D0D" w:rsidP="00913D0D">
      <w:pPr>
        <w:jc w:val="both"/>
      </w:pPr>
      <w:r>
        <w:tab/>
      </w:r>
      <w:r w:rsidRPr="00D404EC">
        <w:rPr>
          <w:b/>
          <w:bCs/>
        </w:rPr>
        <w:t>322 – Rashodi za materijal i energiju</w:t>
      </w:r>
      <w:r w:rsidR="00170374">
        <w:t xml:space="preserve"> </w:t>
      </w:r>
      <w:r w:rsidR="005B4909">
        <w:rPr>
          <w:b/>
          <w:bCs/>
        </w:rPr>
        <w:t>36.083,00</w:t>
      </w:r>
      <w:r w:rsidR="005F7320">
        <w:rPr>
          <w:b/>
          <w:bCs/>
        </w:rPr>
        <w:t xml:space="preserve"> EUR</w:t>
      </w:r>
      <w:r>
        <w:t xml:space="preserve"> , a  odnose</w:t>
      </w:r>
      <w:r w:rsidR="0084738E">
        <w:t xml:space="preserve"> se </w:t>
      </w:r>
      <w:r>
        <w:t xml:space="preserve"> na rashode</w:t>
      </w:r>
      <w:r w:rsidR="004F2325">
        <w:t>:</w:t>
      </w:r>
      <w:r>
        <w:t xml:space="preserve"> </w:t>
      </w:r>
    </w:p>
    <w:p w14:paraId="74F2301B" w14:textId="260E6AD5" w:rsidR="00EE743B" w:rsidRDefault="00EE743B" w:rsidP="00913D0D">
      <w:pPr>
        <w:jc w:val="both"/>
      </w:pPr>
      <w:r>
        <w:t>3223</w:t>
      </w:r>
      <w:r w:rsidR="004F2325">
        <w:t xml:space="preserve"> </w:t>
      </w:r>
      <w:r>
        <w:t xml:space="preserve">- </w:t>
      </w:r>
      <w:r w:rsidR="00913D0D">
        <w:t>energiju</w:t>
      </w:r>
      <w:r w:rsidR="00170374">
        <w:t xml:space="preserve"> (plin i električna energija –</w:t>
      </w:r>
      <w:r w:rsidR="002D5943">
        <w:t>19.436,21</w:t>
      </w:r>
      <w:r w:rsidR="0050051A">
        <w:t xml:space="preserve"> EUR</w:t>
      </w:r>
      <w:r w:rsidR="00170374">
        <w:t xml:space="preserve">), </w:t>
      </w:r>
    </w:p>
    <w:p w14:paraId="7978A18B" w14:textId="1491A294" w:rsidR="00EE743B" w:rsidRDefault="00EE743B" w:rsidP="00913D0D">
      <w:pPr>
        <w:jc w:val="both"/>
      </w:pPr>
      <w:r>
        <w:t xml:space="preserve">3221 </w:t>
      </w:r>
      <w:r w:rsidR="004F2325">
        <w:t xml:space="preserve">- </w:t>
      </w:r>
      <w:r w:rsidR="00170374">
        <w:t>uredski materijal  (</w:t>
      </w:r>
      <w:r w:rsidR="002D5943">
        <w:t>7.007,04</w:t>
      </w:r>
      <w:r w:rsidR="004E49AE">
        <w:t xml:space="preserve"> EUR</w:t>
      </w:r>
      <w:r w:rsidR="00170374">
        <w:t xml:space="preserve">), </w:t>
      </w:r>
    </w:p>
    <w:p w14:paraId="2EF2A5BF" w14:textId="27461FDC" w:rsidR="00EE743B" w:rsidRDefault="00EE743B" w:rsidP="00913D0D">
      <w:pPr>
        <w:jc w:val="both"/>
      </w:pPr>
      <w:r>
        <w:t xml:space="preserve">3224 - </w:t>
      </w:r>
      <w:r w:rsidR="00170374">
        <w:t>materija i dijelovi za tekuće i investicijsko održavanje  (</w:t>
      </w:r>
      <w:r w:rsidR="002D5943">
        <w:t>7.151,84</w:t>
      </w:r>
      <w:r w:rsidR="004E49AE">
        <w:t xml:space="preserve"> EUR</w:t>
      </w:r>
      <w:r w:rsidR="00170374">
        <w:t xml:space="preserve">), </w:t>
      </w:r>
    </w:p>
    <w:p w14:paraId="502C617E" w14:textId="6C6A9546" w:rsidR="00913D0D" w:rsidRDefault="00EE743B" w:rsidP="00913D0D">
      <w:pPr>
        <w:jc w:val="both"/>
      </w:pPr>
      <w:r>
        <w:t xml:space="preserve">3225 - </w:t>
      </w:r>
      <w:r w:rsidR="00170374">
        <w:t xml:space="preserve"> </w:t>
      </w:r>
      <w:r w:rsidR="00D404EC">
        <w:t>sitan inventar  (</w:t>
      </w:r>
      <w:r w:rsidR="002D5943">
        <w:t>2.487,91</w:t>
      </w:r>
      <w:r w:rsidR="009736A3">
        <w:t xml:space="preserve"> EUR</w:t>
      </w:r>
      <w:r w:rsidR="00D404EC">
        <w:t>)</w:t>
      </w:r>
    </w:p>
    <w:p w14:paraId="5FA521E6" w14:textId="3647C067" w:rsidR="00D404EC" w:rsidRDefault="0084738E" w:rsidP="00913D0D">
      <w:pPr>
        <w:jc w:val="both"/>
      </w:pPr>
      <w:r>
        <w:lastRenderedPageBreak/>
        <w:t xml:space="preserve">Rashodi za materijal i energiju izvršeni su </w:t>
      </w:r>
      <w:r w:rsidR="002D5943">
        <w:t>40</w:t>
      </w:r>
      <w:r>
        <w:t>% u odnosu na plan 202</w:t>
      </w:r>
      <w:r w:rsidR="002D5943">
        <w:t>5</w:t>
      </w:r>
      <w:r>
        <w:t xml:space="preserve">. dok se </w:t>
      </w:r>
      <w:r w:rsidR="002D5943">
        <w:t xml:space="preserve">povećali </w:t>
      </w:r>
      <w:r w:rsidR="00171B5F">
        <w:t xml:space="preserve"> za </w:t>
      </w:r>
      <w:r w:rsidR="002D5943">
        <w:t>1</w:t>
      </w:r>
      <w:r w:rsidR="00171B5F">
        <w:t>3</w:t>
      </w:r>
      <w:r>
        <w:t>% u donosu na isto razdoblje 202</w:t>
      </w:r>
      <w:r w:rsidR="002D5943">
        <w:t>4</w:t>
      </w:r>
      <w:r>
        <w:t xml:space="preserve">, a udio u ukupnim materijalnim rashodima iznosi </w:t>
      </w:r>
      <w:r w:rsidR="00324232">
        <w:t>5</w:t>
      </w:r>
      <w:r>
        <w:t>%</w:t>
      </w:r>
    </w:p>
    <w:p w14:paraId="5D30A1FD" w14:textId="7257B3AD" w:rsidR="00EE743B" w:rsidRDefault="00D404EC" w:rsidP="00913D0D">
      <w:pPr>
        <w:jc w:val="both"/>
      </w:pPr>
      <w:r>
        <w:tab/>
      </w:r>
      <w:r w:rsidRPr="00D404EC">
        <w:rPr>
          <w:b/>
          <w:bCs/>
        </w:rPr>
        <w:t xml:space="preserve">323 </w:t>
      </w:r>
      <w:r w:rsidR="004F2325">
        <w:rPr>
          <w:b/>
          <w:bCs/>
        </w:rPr>
        <w:t>–</w:t>
      </w:r>
      <w:r w:rsidRPr="00D404EC">
        <w:rPr>
          <w:b/>
          <w:bCs/>
        </w:rPr>
        <w:t xml:space="preserve"> </w:t>
      </w:r>
      <w:r w:rsidR="004F2325">
        <w:rPr>
          <w:b/>
          <w:bCs/>
        </w:rPr>
        <w:t>R</w:t>
      </w:r>
      <w:r w:rsidRPr="00D404EC">
        <w:rPr>
          <w:b/>
          <w:bCs/>
        </w:rPr>
        <w:t>ashodi</w:t>
      </w:r>
      <w:r w:rsidR="004F2325">
        <w:rPr>
          <w:b/>
          <w:bCs/>
        </w:rPr>
        <w:t xml:space="preserve"> </w:t>
      </w:r>
      <w:r w:rsidRPr="00D404EC">
        <w:rPr>
          <w:b/>
          <w:bCs/>
        </w:rPr>
        <w:t>za usluge</w:t>
      </w:r>
      <w:r w:rsidR="004F2325">
        <w:rPr>
          <w:b/>
          <w:bCs/>
        </w:rPr>
        <w:t xml:space="preserve"> </w:t>
      </w:r>
      <w:r w:rsidR="003377F9">
        <w:rPr>
          <w:b/>
          <w:bCs/>
        </w:rPr>
        <w:t>323.062,54</w:t>
      </w:r>
      <w:r w:rsidR="0001352C">
        <w:rPr>
          <w:b/>
          <w:bCs/>
        </w:rPr>
        <w:t xml:space="preserve"> EUR</w:t>
      </w:r>
      <w:r>
        <w:rPr>
          <w:b/>
          <w:bCs/>
        </w:rPr>
        <w:t xml:space="preserve">, </w:t>
      </w:r>
      <w:r>
        <w:t xml:space="preserve">i čine najveći udio u </w:t>
      </w:r>
      <w:r w:rsidR="0084738E">
        <w:t xml:space="preserve">ukupnim materijalnim rashodima  u iznosu </w:t>
      </w:r>
      <w:r>
        <w:t xml:space="preserve">od </w:t>
      </w:r>
      <w:r w:rsidR="0084738E">
        <w:t>7</w:t>
      </w:r>
      <w:r w:rsidR="003E49D5">
        <w:t>9</w:t>
      </w:r>
      <w:r>
        <w:t xml:space="preserve">% ukupno </w:t>
      </w:r>
      <w:r w:rsidR="0084738E">
        <w:t xml:space="preserve">izvršenih </w:t>
      </w:r>
      <w:r>
        <w:t xml:space="preserve"> materijalnih rashoda. Obuhvaćaju:</w:t>
      </w:r>
    </w:p>
    <w:p w14:paraId="680823EB" w14:textId="0851E4E2" w:rsidR="00EE743B" w:rsidRDefault="00EE743B" w:rsidP="00913D0D">
      <w:pPr>
        <w:jc w:val="both"/>
      </w:pPr>
      <w:r>
        <w:t xml:space="preserve">3231 - </w:t>
      </w:r>
      <w:r w:rsidR="00D404EC">
        <w:t>usluge telefona, pošte i prijevoza (</w:t>
      </w:r>
      <w:r w:rsidR="003377F9">
        <w:t>5.341,16</w:t>
      </w:r>
      <w:r w:rsidR="00A53CE2">
        <w:t xml:space="preserve"> EUR</w:t>
      </w:r>
      <w:r w:rsidR="00D404EC">
        <w:t xml:space="preserve">), </w:t>
      </w:r>
    </w:p>
    <w:p w14:paraId="775EEB47" w14:textId="2E4EF849" w:rsidR="00EE743B" w:rsidRDefault="00EE743B" w:rsidP="00913D0D">
      <w:pPr>
        <w:jc w:val="both"/>
      </w:pPr>
      <w:r>
        <w:t xml:space="preserve">3232 - </w:t>
      </w:r>
      <w:r w:rsidR="00D404EC">
        <w:t>usluge tekućeg i investicijskog održavanja</w:t>
      </w:r>
      <w:r w:rsidR="004315EB">
        <w:t xml:space="preserve"> </w:t>
      </w:r>
      <w:r w:rsidR="00D404EC">
        <w:t>(</w:t>
      </w:r>
      <w:r w:rsidR="003377F9">
        <w:t>32.375,03</w:t>
      </w:r>
      <w:r w:rsidR="00BE5CFF">
        <w:t xml:space="preserve"> EUR</w:t>
      </w:r>
      <w:r w:rsidR="004315EB">
        <w:t xml:space="preserve">), </w:t>
      </w:r>
    </w:p>
    <w:p w14:paraId="2D8A7305" w14:textId="0CD83576" w:rsidR="00EE743B" w:rsidRDefault="00EE743B" w:rsidP="00913D0D">
      <w:pPr>
        <w:jc w:val="both"/>
      </w:pPr>
      <w:r>
        <w:t xml:space="preserve">3233 - </w:t>
      </w:r>
      <w:r w:rsidR="004315EB">
        <w:t>usluge promidžbe informiranja (</w:t>
      </w:r>
      <w:r w:rsidR="00F37E51">
        <w:t xml:space="preserve">13.913,33 </w:t>
      </w:r>
      <w:r w:rsidR="00B40E43">
        <w:t>EUR</w:t>
      </w:r>
      <w:r w:rsidR="004315EB">
        <w:t xml:space="preserve">), </w:t>
      </w:r>
    </w:p>
    <w:p w14:paraId="41B2A44D" w14:textId="4D428AEB" w:rsidR="00EE743B" w:rsidRDefault="00EE743B" w:rsidP="00913D0D">
      <w:pPr>
        <w:jc w:val="both"/>
      </w:pPr>
      <w:r>
        <w:t xml:space="preserve">3234 - </w:t>
      </w:r>
      <w:r w:rsidR="004315EB">
        <w:t>komunalne usluge (</w:t>
      </w:r>
      <w:r w:rsidR="00B40E43">
        <w:t>2.</w:t>
      </w:r>
      <w:r w:rsidR="00F37E51">
        <w:t xml:space="preserve">252,56 </w:t>
      </w:r>
      <w:r w:rsidR="00B40E43">
        <w:t>EUR</w:t>
      </w:r>
      <w:r w:rsidR="004315EB">
        <w:t>),</w:t>
      </w:r>
    </w:p>
    <w:p w14:paraId="0C18EDAE" w14:textId="4E31DEDC" w:rsidR="00EE743B" w:rsidRDefault="00EE743B" w:rsidP="00913D0D">
      <w:pPr>
        <w:jc w:val="both"/>
      </w:pPr>
      <w:r>
        <w:t xml:space="preserve">3235 - </w:t>
      </w:r>
      <w:r w:rsidR="004F2325">
        <w:t>zakupnine i najamnine (</w:t>
      </w:r>
      <w:r w:rsidR="00F37E51">
        <w:t>57.356,87</w:t>
      </w:r>
      <w:r w:rsidR="00043A9C">
        <w:t xml:space="preserve"> EUR</w:t>
      </w:r>
      <w:r w:rsidR="004315EB">
        <w:t xml:space="preserve">), </w:t>
      </w:r>
    </w:p>
    <w:p w14:paraId="0FD5EE47" w14:textId="12BF8057" w:rsidR="00EE743B" w:rsidRDefault="00EE743B" w:rsidP="00913D0D">
      <w:pPr>
        <w:jc w:val="both"/>
      </w:pPr>
      <w:r>
        <w:t xml:space="preserve">3237 - </w:t>
      </w:r>
      <w:r w:rsidR="004315EB">
        <w:t>intelektualne i osobne usluge (</w:t>
      </w:r>
      <w:r w:rsidR="00F37E51">
        <w:t>199.514,78</w:t>
      </w:r>
      <w:r w:rsidR="00043A9C">
        <w:t xml:space="preserve"> EUR</w:t>
      </w:r>
      <w:r w:rsidR="004315EB">
        <w:t>)</w:t>
      </w:r>
      <w:r w:rsidR="004F2325">
        <w:t xml:space="preserve"> – odnose se na različite ugovore o djelu ili autorske ugovore vezane u najvećoj mjeri uz vanjske predavače za izvođenje različitih programa cjeloživotnog obrazovanja i izvođače kulturnih programa. </w:t>
      </w:r>
      <w:r w:rsidR="004315EB">
        <w:t xml:space="preserve"> </w:t>
      </w:r>
    </w:p>
    <w:p w14:paraId="65FCE7D0" w14:textId="0A05AE9A" w:rsidR="00EE743B" w:rsidRDefault="00EE743B" w:rsidP="00913D0D">
      <w:pPr>
        <w:jc w:val="both"/>
      </w:pPr>
      <w:r>
        <w:t xml:space="preserve">3238 - </w:t>
      </w:r>
      <w:r w:rsidR="004F2325">
        <w:t>računalne usluge</w:t>
      </w:r>
      <w:r w:rsidR="004315EB">
        <w:t xml:space="preserve"> (</w:t>
      </w:r>
      <w:r w:rsidR="00F37E51">
        <w:t>3.252,13</w:t>
      </w:r>
      <w:r w:rsidR="008B5173">
        <w:t xml:space="preserve"> EUR</w:t>
      </w:r>
      <w:r>
        <w:t>)</w:t>
      </w:r>
    </w:p>
    <w:p w14:paraId="7DA44EE8" w14:textId="5BDE7583" w:rsidR="00D404EC" w:rsidRDefault="00EE743B" w:rsidP="00913D0D">
      <w:pPr>
        <w:jc w:val="both"/>
      </w:pPr>
      <w:r>
        <w:t xml:space="preserve">3239 - </w:t>
      </w:r>
      <w:r w:rsidR="004F2325">
        <w:t xml:space="preserve">ostale usluge </w:t>
      </w:r>
      <w:r w:rsidR="004315EB">
        <w:t>(</w:t>
      </w:r>
      <w:r w:rsidR="00F37E51">
        <w:t>9.056,68</w:t>
      </w:r>
      <w:r w:rsidR="008B5173">
        <w:t xml:space="preserve"> EUR</w:t>
      </w:r>
      <w:r w:rsidR="004315EB">
        <w:t>)</w:t>
      </w:r>
      <w:r w:rsidR="00A03B66">
        <w:t xml:space="preserve"> </w:t>
      </w:r>
    </w:p>
    <w:p w14:paraId="2ADFC5BB" w14:textId="296A5536" w:rsidR="00CD6FA1" w:rsidRDefault="00CD6FA1" w:rsidP="00913D0D">
      <w:pPr>
        <w:jc w:val="both"/>
      </w:pPr>
      <w:r>
        <w:t xml:space="preserve">Rashodi za usluge izvršeni su </w:t>
      </w:r>
      <w:r w:rsidR="00F37E51">
        <w:t>42</w:t>
      </w:r>
      <w:r>
        <w:t>% u odnosu na plan za 202</w:t>
      </w:r>
      <w:r w:rsidR="00F37E51">
        <w:t>5</w:t>
      </w:r>
      <w:r>
        <w:t>., doku se u odnosu na isto razdoblje 202</w:t>
      </w:r>
      <w:r w:rsidR="00F37E51">
        <w:t>4</w:t>
      </w:r>
      <w:r w:rsidR="00662305">
        <w:t>.</w:t>
      </w:r>
      <w:r>
        <w:t xml:space="preserve">, veći za </w:t>
      </w:r>
      <w:r w:rsidR="00F37E51">
        <w:t>46</w:t>
      </w:r>
      <w:r>
        <w:t>%.</w:t>
      </w:r>
    </w:p>
    <w:p w14:paraId="4EA98316" w14:textId="0A75011B" w:rsidR="00DA7281" w:rsidRDefault="00CD6FA1" w:rsidP="00913D0D">
      <w:pPr>
        <w:jc w:val="both"/>
      </w:pPr>
      <w:r>
        <w:tab/>
      </w:r>
      <w:r w:rsidRPr="00CD6FA1">
        <w:rPr>
          <w:b/>
          <w:bCs/>
        </w:rPr>
        <w:t>324 – Naknada troškova osobama izvan radnog odnosa</w:t>
      </w:r>
      <w:r>
        <w:t xml:space="preserve"> u razdoblju od I-VI. 202</w:t>
      </w:r>
      <w:r w:rsidR="00F92BD0">
        <w:t>5</w:t>
      </w:r>
      <w:r w:rsidR="00662305">
        <w:t>.</w:t>
      </w:r>
      <w:r>
        <w:t xml:space="preserve"> nije realizirana</w:t>
      </w:r>
    </w:p>
    <w:p w14:paraId="2C07E023" w14:textId="4731891A" w:rsidR="00EE743B" w:rsidRDefault="004315EB" w:rsidP="00913D0D">
      <w:pPr>
        <w:jc w:val="both"/>
      </w:pPr>
      <w:r>
        <w:tab/>
      </w:r>
      <w:r w:rsidRPr="004315EB">
        <w:rPr>
          <w:b/>
          <w:bCs/>
        </w:rPr>
        <w:t>329 – Ostali nespo</w:t>
      </w:r>
      <w:r w:rsidR="00A03B66">
        <w:rPr>
          <w:b/>
          <w:bCs/>
        </w:rPr>
        <w:t xml:space="preserve">menuti rashodi poslovanja </w:t>
      </w:r>
      <w:r w:rsidR="00CD6FA1">
        <w:rPr>
          <w:b/>
          <w:bCs/>
        </w:rPr>
        <w:t>1</w:t>
      </w:r>
      <w:r w:rsidR="00F92BD0">
        <w:rPr>
          <w:b/>
          <w:bCs/>
        </w:rPr>
        <w:t>1.381,40</w:t>
      </w:r>
      <w:r w:rsidR="00F24002">
        <w:rPr>
          <w:b/>
          <w:bCs/>
        </w:rPr>
        <w:t xml:space="preserve"> EUR</w:t>
      </w:r>
      <w:r>
        <w:rPr>
          <w:b/>
          <w:bCs/>
        </w:rPr>
        <w:t xml:space="preserve"> </w:t>
      </w:r>
      <w:r>
        <w:t xml:space="preserve">, a odnose se na: </w:t>
      </w:r>
    </w:p>
    <w:p w14:paraId="271AC348" w14:textId="35C52F46" w:rsidR="00EE743B" w:rsidRDefault="00EE743B" w:rsidP="00913D0D">
      <w:pPr>
        <w:jc w:val="both"/>
      </w:pPr>
      <w:r>
        <w:t xml:space="preserve">3291 - </w:t>
      </w:r>
      <w:r w:rsidR="004315EB">
        <w:t xml:space="preserve">naknade za članove upravnog vijeća  ( </w:t>
      </w:r>
      <w:r w:rsidR="00F92BD0">
        <w:t>574,53</w:t>
      </w:r>
      <w:r w:rsidR="00F24002">
        <w:t xml:space="preserve"> EUR </w:t>
      </w:r>
      <w:r w:rsidR="004315EB">
        <w:t>),</w:t>
      </w:r>
    </w:p>
    <w:p w14:paraId="5B50F2DF" w14:textId="386B0C80" w:rsidR="00EE743B" w:rsidRDefault="00EE743B" w:rsidP="00913D0D">
      <w:pPr>
        <w:jc w:val="both"/>
      </w:pPr>
      <w:r>
        <w:t xml:space="preserve">3292 - </w:t>
      </w:r>
      <w:r w:rsidR="004315EB">
        <w:t>premije osiguranja  (</w:t>
      </w:r>
      <w:r w:rsidR="00F92BD0">
        <w:t>2.918,71</w:t>
      </w:r>
      <w:r w:rsidR="00B82385">
        <w:t xml:space="preserve"> EUR</w:t>
      </w:r>
      <w:r w:rsidR="00C40EDF">
        <w:t xml:space="preserve">), </w:t>
      </w:r>
    </w:p>
    <w:p w14:paraId="71DB64C0" w14:textId="7FFA13A5" w:rsidR="00EE743B" w:rsidRDefault="00EE743B" w:rsidP="00913D0D">
      <w:pPr>
        <w:jc w:val="both"/>
      </w:pPr>
      <w:r>
        <w:t xml:space="preserve">3293 - </w:t>
      </w:r>
      <w:r w:rsidR="00C40EDF">
        <w:t>reprezentacija  (</w:t>
      </w:r>
      <w:r w:rsidR="00D00840">
        <w:t>2.525,04</w:t>
      </w:r>
      <w:r w:rsidR="00B82385">
        <w:t xml:space="preserve"> EUR</w:t>
      </w:r>
      <w:r w:rsidR="00C40EDF">
        <w:t xml:space="preserve">), </w:t>
      </w:r>
    </w:p>
    <w:p w14:paraId="70CBA66E" w14:textId="681C3911" w:rsidR="00EE743B" w:rsidRDefault="00EE743B" w:rsidP="00913D0D">
      <w:pPr>
        <w:jc w:val="both"/>
      </w:pPr>
      <w:r>
        <w:t xml:space="preserve">3294 - </w:t>
      </w:r>
      <w:r w:rsidR="00C40EDF">
        <w:t>članarine (</w:t>
      </w:r>
      <w:r w:rsidR="00D00840">
        <w:t>1.016,00</w:t>
      </w:r>
      <w:r w:rsidR="00B82385">
        <w:t xml:space="preserve"> EUR</w:t>
      </w:r>
      <w:r w:rsidR="00C40EDF">
        <w:t xml:space="preserve">), </w:t>
      </w:r>
    </w:p>
    <w:p w14:paraId="4C63E7A0" w14:textId="48EEB47B" w:rsidR="00EE743B" w:rsidRDefault="00EE743B" w:rsidP="00913D0D">
      <w:pPr>
        <w:jc w:val="both"/>
      </w:pPr>
      <w:r>
        <w:t xml:space="preserve">3295 - </w:t>
      </w:r>
      <w:r w:rsidR="00C40EDF">
        <w:t>pristojbe i naknade (</w:t>
      </w:r>
      <w:r w:rsidR="00D00840">
        <w:t>407,32</w:t>
      </w:r>
      <w:r w:rsidR="00E02455">
        <w:t xml:space="preserve"> EUR)</w:t>
      </w:r>
      <w:r w:rsidR="00C40EDF">
        <w:t xml:space="preserve">, </w:t>
      </w:r>
    </w:p>
    <w:p w14:paraId="4512F342" w14:textId="74772834" w:rsidR="00CD6FA1" w:rsidRDefault="00EE743B" w:rsidP="00CD6FA1">
      <w:pPr>
        <w:jc w:val="both"/>
      </w:pPr>
      <w:r>
        <w:t xml:space="preserve">3299 - </w:t>
      </w:r>
      <w:r w:rsidR="00C40EDF">
        <w:t>ostali nes</w:t>
      </w:r>
      <w:r w:rsidR="00A03B66">
        <w:t>pomenuti rashodi poslovanja</w:t>
      </w:r>
      <w:r w:rsidR="00C40EDF">
        <w:t xml:space="preserve"> (</w:t>
      </w:r>
      <w:r w:rsidR="00D00840">
        <w:t>3.939,80</w:t>
      </w:r>
      <w:r w:rsidR="0008321F">
        <w:t xml:space="preserve"> EUR</w:t>
      </w:r>
      <w:r w:rsidR="00C40EDF">
        <w:t xml:space="preserve">) </w:t>
      </w:r>
      <w:r w:rsidR="00A03B66">
        <w:t xml:space="preserve"> </w:t>
      </w:r>
    </w:p>
    <w:p w14:paraId="5AB19855" w14:textId="45D8BDAB" w:rsidR="00CD6FA1" w:rsidRDefault="00CD6FA1" w:rsidP="00CD6FA1">
      <w:pPr>
        <w:jc w:val="both"/>
      </w:pPr>
      <w:r>
        <w:t>Ostali nespomenuti rashodi poslovanja izvršeni su 2</w:t>
      </w:r>
      <w:r w:rsidR="00D00840">
        <w:t>1</w:t>
      </w:r>
      <w:r>
        <w:t>% u odnosu na plan za 202</w:t>
      </w:r>
      <w:r w:rsidR="00D00840">
        <w:t>5</w:t>
      </w:r>
      <w:r>
        <w:t xml:space="preserve">, dok su se </w:t>
      </w:r>
      <w:r w:rsidR="00D00840">
        <w:t xml:space="preserve">smanjili </w:t>
      </w:r>
      <w:r>
        <w:t xml:space="preserve"> za  </w:t>
      </w:r>
      <w:r w:rsidR="00AB1046">
        <w:t>15</w:t>
      </w:r>
      <w:r>
        <w:t>% u odnosu na isto razdoblje 202</w:t>
      </w:r>
      <w:r w:rsidR="00AB1046">
        <w:t>4</w:t>
      </w:r>
      <w:r w:rsidR="00466550">
        <w:t>.</w:t>
      </w:r>
      <w:r w:rsidR="00891F19">
        <w:t>,</w:t>
      </w:r>
      <w:r>
        <w:t xml:space="preserve"> a udio u ukupnim materijalnim rashodima iznosi </w:t>
      </w:r>
      <w:r w:rsidR="009B097F">
        <w:t>1,5</w:t>
      </w:r>
      <w:r>
        <w:t>%</w:t>
      </w:r>
    </w:p>
    <w:p w14:paraId="16408129" w14:textId="7912719B" w:rsidR="00EE743B" w:rsidRDefault="00C40EDF" w:rsidP="00913D0D">
      <w:pPr>
        <w:jc w:val="both"/>
      </w:pPr>
      <w:r>
        <w:tab/>
      </w:r>
      <w:r w:rsidRPr="00C40EDF">
        <w:rPr>
          <w:b/>
          <w:bCs/>
        </w:rPr>
        <w:t>3</w:t>
      </w:r>
      <w:r w:rsidR="00A03B66">
        <w:rPr>
          <w:b/>
          <w:bCs/>
        </w:rPr>
        <w:t>43 – Ostali financijski rashodi</w:t>
      </w:r>
      <w:r w:rsidRPr="00C40EDF">
        <w:rPr>
          <w:b/>
          <w:bCs/>
        </w:rPr>
        <w:t xml:space="preserve"> </w:t>
      </w:r>
      <w:r w:rsidR="00FC67C9">
        <w:rPr>
          <w:b/>
          <w:bCs/>
        </w:rPr>
        <w:t xml:space="preserve">855,84 </w:t>
      </w:r>
      <w:r w:rsidR="00282788">
        <w:rPr>
          <w:b/>
          <w:bCs/>
        </w:rPr>
        <w:t xml:space="preserve"> EUR</w:t>
      </w:r>
      <w:r>
        <w:t>, odnose se  na</w:t>
      </w:r>
      <w:r w:rsidR="00A03B66">
        <w:t>:</w:t>
      </w:r>
      <w:r>
        <w:t xml:space="preserve"> </w:t>
      </w:r>
    </w:p>
    <w:p w14:paraId="6E10E74E" w14:textId="5BE72640" w:rsidR="00EE743B" w:rsidRDefault="00EE743B" w:rsidP="00913D0D">
      <w:pPr>
        <w:jc w:val="both"/>
      </w:pPr>
      <w:r>
        <w:t xml:space="preserve">3431 - </w:t>
      </w:r>
      <w:r w:rsidR="00C40EDF">
        <w:t>bankarske usluge (</w:t>
      </w:r>
      <w:r w:rsidR="00FC67C9">
        <w:t>852,69</w:t>
      </w:r>
      <w:r w:rsidR="00282788">
        <w:t xml:space="preserve"> EUR</w:t>
      </w:r>
      <w:r w:rsidR="00C40EDF">
        <w:t>),</w:t>
      </w:r>
    </w:p>
    <w:p w14:paraId="7242D31C" w14:textId="10636889" w:rsidR="00FC67C9" w:rsidRDefault="00FC67C9" w:rsidP="00913D0D">
      <w:pPr>
        <w:jc w:val="both"/>
      </w:pPr>
      <w:r>
        <w:t>3433- zatezne kamate (3,</w:t>
      </w:r>
      <w:r w:rsidR="00F00A2A">
        <w:t xml:space="preserve">15 EUR) </w:t>
      </w:r>
    </w:p>
    <w:p w14:paraId="77EE4A78" w14:textId="200A4F9B" w:rsidR="00877416" w:rsidRDefault="00877416" w:rsidP="00913D0D">
      <w:pPr>
        <w:jc w:val="both"/>
      </w:pPr>
      <w:r>
        <w:t xml:space="preserve">Financijski rashodi </w:t>
      </w:r>
      <w:r w:rsidR="00CD6FA1">
        <w:t xml:space="preserve">izvršeni su u </w:t>
      </w:r>
      <w:r w:rsidR="00F00A2A">
        <w:t>45</w:t>
      </w:r>
      <w:r w:rsidR="00A223E5">
        <w:t>% u odnosu na plan za 202</w:t>
      </w:r>
      <w:r w:rsidR="00F00A2A">
        <w:t>5</w:t>
      </w:r>
      <w:r w:rsidR="00A223E5">
        <w:t xml:space="preserve">, dok su se povećali za </w:t>
      </w:r>
      <w:r w:rsidR="00186B63">
        <w:t>1</w:t>
      </w:r>
      <w:r w:rsidR="00F00A2A">
        <w:t>3</w:t>
      </w:r>
      <w:r w:rsidR="00A223E5">
        <w:t>% u odnosu na isto razdoblje 202</w:t>
      </w:r>
      <w:r w:rsidR="00F00A2A">
        <w:t>4</w:t>
      </w:r>
      <w:r w:rsidR="00186B63">
        <w:t>.</w:t>
      </w:r>
    </w:p>
    <w:p w14:paraId="4865A2EF" w14:textId="01837430" w:rsidR="00F767C9" w:rsidRPr="00A223E5" w:rsidRDefault="00C40EDF" w:rsidP="00A223E5">
      <w:pPr>
        <w:jc w:val="both"/>
      </w:pPr>
      <w:r>
        <w:tab/>
      </w:r>
      <w:r w:rsidRPr="00C40EDF">
        <w:rPr>
          <w:b/>
          <w:bCs/>
        </w:rPr>
        <w:t>383 -</w:t>
      </w:r>
      <w:r w:rsidR="00343394">
        <w:rPr>
          <w:b/>
          <w:bCs/>
        </w:rPr>
        <w:t xml:space="preserve"> </w:t>
      </w:r>
      <w:r w:rsidRPr="00C40EDF">
        <w:rPr>
          <w:b/>
          <w:bCs/>
        </w:rPr>
        <w:t xml:space="preserve">Kazne, penali i naknade šteta  - </w:t>
      </w:r>
      <w:r w:rsidR="00A223E5">
        <w:t>nisu se realizirali u razdoblju od I-VI.202</w:t>
      </w:r>
      <w:r w:rsidR="00F00A2A">
        <w:t>5</w:t>
      </w:r>
      <w:r w:rsidR="00A223E5">
        <w:t>. godine</w:t>
      </w:r>
    </w:p>
    <w:p w14:paraId="75370F02" w14:textId="77777777" w:rsidR="00343394" w:rsidRDefault="00343394" w:rsidP="00913D0D">
      <w:pPr>
        <w:jc w:val="both"/>
      </w:pPr>
    </w:p>
    <w:p w14:paraId="312F4E92" w14:textId="32228212" w:rsidR="00467A6B" w:rsidRDefault="00467A6B" w:rsidP="00467A6B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467A6B">
        <w:rPr>
          <w:b/>
          <w:bCs/>
        </w:rPr>
        <w:lastRenderedPageBreak/>
        <w:t xml:space="preserve">RASHODI ZA NABAVU NEFINANCIJSKE IMOVINE </w:t>
      </w:r>
    </w:p>
    <w:p w14:paraId="0ED4CD23" w14:textId="3C74858B" w:rsidR="00A223E5" w:rsidRPr="00A223E5" w:rsidRDefault="00A223E5" w:rsidP="00A223E5">
      <w:pPr>
        <w:autoSpaceDE w:val="0"/>
        <w:autoSpaceDN w:val="0"/>
        <w:adjustRightInd w:val="0"/>
        <w:jc w:val="both"/>
        <w:rPr>
          <w:b/>
          <w:bCs/>
        </w:rPr>
      </w:pPr>
      <w:r w:rsidRPr="00C15B25">
        <w:rPr>
          <w:b/>
          <w:bCs/>
        </w:rPr>
        <w:t xml:space="preserve">Rashodi za nabavu nefinancijske imovine (razred 4) izvršeni su sa </w:t>
      </w:r>
      <w:r w:rsidR="00273CCE" w:rsidRPr="00C15B25">
        <w:rPr>
          <w:b/>
          <w:bCs/>
        </w:rPr>
        <w:t>59.727,76</w:t>
      </w:r>
      <w:r w:rsidR="00C84715" w:rsidRPr="00C15B25">
        <w:rPr>
          <w:b/>
          <w:bCs/>
        </w:rPr>
        <w:t xml:space="preserve"> EUR</w:t>
      </w:r>
      <w:r w:rsidR="00C84715">
        <w:t xml:space="preserve"> </w:t>
      </w:r>
      <w:r w:rsidRPr="00E34529">
        <w:t xml:space="preserve"> odnosno sa </w:t>
      </w:r>
      <w:r w:rsidR="00273CCE">
        <w:t>72</w:t>
      </w:r>
      <w:r w:rsidRPr="00E34529">
        <w:t xml:space="preserve">% proračunom planiranih i </w:t>
      </w:r>
      <w:r>
        <w:t xml:space="preserve">veći </w:t>
      </w:r>
      <w:r w:rsidRPr="00E34529">
        <w:t xml:space="preserve"> su za </w:t>
      </w:r>
      <w:r w:rsidR="00F136D1">
        <w:t>646</w:t>
      </w:r>
      <w:r>
        <w:t xml:space="preserve"> </w:t>
      </w:r>
      <w:r w:rsidRPr="00E34529">
        <w:t>% u odnosu na istovrsne rashode u izvještajnom razdoblju 202</w:t>
      </w:r>
      <w:r w:rsidR="00F136D1">
        <w:t>4</w:t>
      </w:r>
      <w:r w:rsidRPr="00E34529">
        <w:t>. godine</w:t>
      </w:r>
      <w:r w:rsidR="00694E30">
        <w:t>.</w:t>
      </w:r>
    </w:p>
    <w:p w14:paraId="5C9A4B1E" w14:textId="65F209FE" w:rsidR="00467A6B" w:rsidRDefault="00467A6B" w:rsidP="00467A6B">
      <w:pPr>
        <w:jc w:val="both"/>
      </w:pPr>
      <w:r>
        <w:tab/>
      </w:r>
      <w:r w:rsidR="00343394" w:rsidRPr="00343394">
        <w:rPr>
          <w:b/>
        </w:rPr>
        <w:t xml:space="preserve">41 –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</w:t>
      </w:r>
      <w:r w:rsidR="007200E4" w:rsidRPr="00467A6B">
        <w:rPr>
          <w:b/>
          <w:bCs/>
        </w:rPr>
        <w:t>n</w:t>
      </w:r>
      <w:r w:rsidR="007200E4">
        <w:rPr>
          <w:b/>
          <w:bCs/>
        </w:rPr>
        <w:t>e proizvedene</w:t>
      </w:r>
      <w:r w:rsidR="00343394">
        <w:rPr>
          <w:b/>
          <w:bCs/>
        </w:rPr>
        <w:t xml:space="preserve"> dugotrajne imovine</w:t>
      </w:r>
      <w:r>
        <w:t xml:space="preserve"> </w:t>
      </w:r>
      <w:r w:rsidRPr="00343394">
        <w:rPr>
          <w:b/>
        </w:rPr>
        <w:t>u</w:t>
      </w:r>
      <w:r w:rsidR="00A223E5">
        <w:rPr>
          <w:b/>
        </w:rPr>
        <w:t xml:space="preserve"> izvršeni su u</w:t>
      </w:r>
      <w:r w:rsidRPr="00343394">
        <w:rPr>
          <w:b/>
        </w:rPr>
        <w:t xml:space="preserve"> iznosu od</w:t>
      </w:r>
      <w:r w:rsidR="00810362">
        <w:rPr>
          <w:b/>
        </w:rPr>
        <w:t xml:space="preserve"> </w:t>
      </w:r>
      <w:r w:rsidR="00F136D1">
        <w:rPr>
          <w:b/>
        </w:rPr>
        <w:t>3.623,29</w:t>
      </w:r>
      <w:r w:rsidR="00810362">
        <w:rPr>
          <w:b/>
        </w:rPr>
        <w:t xml:space="preserve"> EUR </w:t>
      </w:r>
      <w:r>
        <w:t xml:space="preserve"> a </w:t>
      </w:r>
      <w:r w:rsidR="00A223E5">
        <w:t>odnose se na</w:t>
      </w:r>
      <w:r>
        <w:t xml:space="preserve"> nabavu</w:t>
      </w:r>
      <w:r w:rsidR="00343394">
        <w:t xml:space="preserve"> licenci do 3 godine - 4123.</w:t>
      </w:r>
    </w:p>
    <w:p w14:paraId="37D33C12" w14:textId="1DF33997" w:rsidR="007200E4" w:rsidRDefault="007200E4" w:rsidP="00467A6B">
      <w:pPr>
        <w:jc w:val="both"/>
      </w:pPr>
      <w:r>
        <w:t xml:space="preserve">Rashodi za nabavu ne proizvedene materijalne imovine izvršena je </w:t>
      </w:r>
      <w:r w:rsidR="00407E81">
        <w:t>20</w:t>
      </w:r>
      <w:r>
        <w:t>%</w:t>
      </w:r>
      <w:r w:rsidR="00407E81">
        <w:t xml:space="preserve"> više </w:t>
      </w:r>
      <w:r>
        <w:t xml:space="preserve"> u odnosu na plan 202</w:t>
      </w:r>
      <w:r w:rsidR="00407E81">
        <w:t>5</w:t>
      </w:r>
      <w:r>
        <w:t>, dok je u odnosu na isto razdoblje 202</w:t>
      </w:r>
      <w:r w:rsidR="00407E81">
        <w:t>4</w:t>
      </w:r>
      <w:r>
        <w:t xml:space="preserve">. </w:t>
      </w:r>
      <w:r w:rsidR="00407E81">
        <w:t xml:space="preserve">veći za </w:t>
      </w:r>
      <w:r w:rsidR="003207B9">
        <w:t>603%</w:t>
      </w:r>
    </w:p>
    <w:p w14:paraId="0C4DD979" w14:textId="5EA4489B" w:rsidR="00EE743B" w:rsidRDefault="00467A6B" w:rsidP="00A223E5">
      <w:pPr>
        <w:jc w:val="both"/>
      </w:pPr>
      <w:r>
        <w:tab/>
      </w:r>
      <w:r w:rsidR="00343394" w:rsidRPr="00343394">
        <w:rPr>
          <w:b/>
        </w:rPr>
        <w:t xml:space="preserve">42 –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proizvedene dugotrajne imovine</w:t>
      </w:r>
      <w:r>
        <w:rPr>
          <w:b/>
          <w:bCs/>
        </w:rPr>
        <w:t xml:space="preserve"> – </w:t>
      </w:r>
      <w:r w:rsidR="00A223E5">
        <w:t>izvršeni</w:t>
      </w:r>
      <w:r>
        <w:t xml:space="preserve"> su  u iznosu od </w:t>
      </w:r>
      <w:r w:rsidR="003207B9" w:rsidRPr="00A8046F">
        <w:rPr>
          <w:b/>
          <w:bCs/>
        </w:rPr>
        <w:t xml:space="preserve">56.104,47 </w:t>
      </w:r>
      <w:r w:rsidR="007E5207" w:rsidRPr="00A8046F">
        <w:rPr>
          <w:b/>
          <w:bCs/>
        </w:rPr>
        <w:t>EUR</w:t>
      </w:r>
      <w:r>
        <w:t xml:space="preserve">, </w:t>
      </w:r>
      <w:r w:rsidR="00A223E5">
        <w:t xml:space="preserve">a odnose se na </w:t>
      </w:r>
    </w:p>
    <w:p w14:paraId="261BA382" w14:textId="422B8287" w:rsidR="003207B9" w:rsidRDefault="00046746" w:rsidP="00A223E5">
      <w:pPr>
        <w:jc w:val="both"/>
      </w:pPr>
      <w:r>
        <w:t>4221 – uredska oprema i namještaj (25.409,90 EUR)</w:t>
      </w:r>
    </w:p>
    <w:p w14:paraId="71453AA6" w14:textId="0216ADC3" w:rsidR="00046746" w:rsidRDefault="00046746" w:rsidP="00A223E5">
      <w:pPr>
        <w:jc w:val="both"/>
      </w:pPr>
      <w:r>
        <w:t>4223 – oprema za održavanje i zaštitu (10.482,13 EUR)</w:t>
      </w:r>
    </w:p>
    <w:p w14:paraId="24C05EAD" w14:textId="19B37494" w:rsidR="00046746" w:rsidRDefault="00046746" w:rsidP="00A223E5">
      <w:pPr>
        <w:jc w:val="both"/>
      </w:pPr>
      <w:r>
        <w:t>4224 – medicinska oprema (</w:t>
      </w:r>
      <w:r w:rsidR="001C0C15">
        <w:t>42,10 EUR)</w:t>
      </w:r>
    </w:p>
    <w:p w14:paraId="5C417B38" w14:textId="73CCE12E" w:rsidR="001C0C15" w:rsidRDefault="001C0C15" w:rsidP="00A223E5">
      <w:pPr>
        <w:jc w:val="both"/>
      </w:pPr>
      <w:r>
        <w:t>4226 – sportska i glazbena oprema (170,34 EUR)</w:t>
      </w:r>
    </w:p>
    <w:p w14:paraId="70BA3115" w14:textId="535B898D" w:rsidR="001C0C15" w:rsidRDefault="001C0C15" w:rsidP="00A223E5">
      <w:pPr>
        <w:jc w:val="both"/>
      </w:pPr>
      <w:r>
        <w:t>4242 – umjetnička djela (20.000,00 EUR)</w:t>
      </w:r>
    </w:p>
    <w:p w14:paraId="45314513" w14:textId="5B833E51" w:rsidR="00A223E5" w:rsidRDefault="00A223E5" w:rsidP="00A223E5">
      <w:pPr>
        <w:jc w:val="both"/>
      </w:pPr>
      <w:r>
        <w:t xml:space="preserve">Rashodi za nabavu proizvedene materijalne imovine </w:t>
      </w:r>
      <w:r w:rsidR="007200E4">
        <w:t xml:space="preserve">izvršena je </w:t>
      </w:r>
      <w:r w:rsidR="001C0C15">
        <w:t>70</w:t>
      </w:r>
      <w:r w:rsidR="007200E4">
        <w:t>% u odnosu na plan 202</w:t>
      </w:r>
      <w:r w:rsidR="001C0C15">
        <w:t>5</w:t>
      </w:r>
      <w:r w:rsidR="007200E4">
        <w:t>, dok je u odnosu na isto razdoblje 202</w:t>
      </w:r>
      <w:r w:rsidR="001C0C15">
        <w:t>4</w:t>
      </w:r>
      <w:r w:rsidR="007200E4">
        <w:t>. godine veća za</w:t>
      </w:r>
      <w:r w:rsidR="001C0C15">
        <w:t xml:space="preserve"> 646 </w:t>
      </w:r>
      <w:r w:rsidR="007200E4">
        <w:t>%.</w:t>
      </w:r>
    </w:p>
    <w:p w14:paraId="4121E1A6" w14:textId="77777777" w:rsidR="00A223E5" w:rsidRDefault="00A223E5" w:rsidP="00A223E5">
      <w:pPr>
        <w:jc w:val="both"/>
      </w:pPr>
    </w:p>
    <w:p w14:paraId="1616E3C1" w14:textId="77777777" w:rsidR="00A223E5" w:rsidRDefault="00A223E5" w:rsidP="00A223E5">
      <w:pPr>
        <w:jc w:val="both"/>
      </w:pPr>
    </w:p>
    <w:p w14:paraId="6718D010" w14:textId="115D80C5" w:rsidR="00D52882" w:rsidRDefault="007200E4" w:rsidP="00D52882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PRIKAZ VIŠKA/MANJKA PRORAČUNA</w:t>
      </w:r>
    </w:p>
    <w:p w14:paraId="5A224024" w14:textId="77777777" w:rsidR="00DA2592" w:rsidRPr="00DA2592" w:rsidRDefault="00DA2592" w:rsidP="00DA2592">
      <w:pPr>
        <w:jc w:val="both"/>
        <w:rPr>
          <w:b/>
          <w:bCs/>
        </w:rPr>
      </w:pPr>
    </w:p>
    <w:p w14:paraId="20681E8B" w14:textId="75902977" w:rsidR="00DA2592" w:rsidRPr="00DA2592" w:rsidRDefault="00DA2592" w:rsidP="00DA2592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Ukupni višak/manjak proračuna</w:t>
      </w:r>
    </w:p>
    <w:tbl>
      <w:tblPr>
        <w:tblStyle w:val="Reetkatablice"/>
        <w:tblpPr w:leftFromText="180" w:rightFromText="180" w:vertAnchor="text" w:horzAnchor="margin" w:tblpXSpec="center" w:tblpY="292"/>
        <w:tblW w:w="10954" w:type="dxa"/>
        <w:tblLook w:val="04A0" w:firstRow="1" w:lastRow="0" w:firstColumn="1" w:lastColumn="0" w:noHBand="0" w:noVBand="1"/>
      </w:tblPr>
      <w:tblGrid>
        <w:gridCol w:w="4566"/>
        <w:gridCol w:w="1224"/>
        <w:gridCol w:w="1394"/>
        <w:gridCol w:w="1316"/>
        <w:gridCol w:w="1639"/>
        <w:gridCol w:w="1178"/>
      </w:tblGrid>
      <w:tr w:rsidR="00D21E51" w:rsidRPr="00D21E51" w14:paraId="47BD5E18" w14:textId="77777777" w:rsidTr="00141959">
        <w:trPr>
          <w:trHeight w:val="885"/>
        </w:trPr>
        <w:tc>
          <w:tcPr>
            <w:tcW w:w="4566" w:type="dxa"/>
            <w:hideMark/>
          </w:tcPr>
          <w:p w14:paraId="28B88836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Brojčana oznaka i naziv</w:t>
            </w:r>
          </w:p>
        </w:tc>
        <w:tc>
          <w:tcPr>
            <w:tcW w:w="1224" w:type="dxa"/>
            <w:hideMark/>
          </w:tcPr>
          <w:p w14:paraId="4A4E55A2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Izvršenje</w:t>
            </w:r>
          </w:p>
        </w:tc>
        <w:tc>
          <w:tcPr>
            <w:tcW w:w="1394" w:type="dxa"/>
            <w:hideMark/>
          </w:tcPr>
          <w:p w14:paraId="3A3815C6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Plan</w:t>
            </w:r>
          </w:p>
        </w:tc>
        <w:tc>
          <w:tcPr>
            <w:tcW w:w="1316" w:type="dxa"/>
            <w:hideMark/>
          </w:tcPr>
          <w:p w14:paraId="14A81251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Izvršenje</w:t>
            </w:r>
          </w:p>
        </w:tc>
        <w:tc>
          <w:tcPr>
            <w:tcW w:w="1276" w:type="dxa"/>
            <w:hideMark/>
          </w:tcPr>
          <w:p w14:paraId="0ED3688C" w14:textId="0F509BE3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 xml:space="preserve">Indeks </w:t>
            </w:r>
            <w:proofErr w:type="spellStart"/>
            <w:r w:rsidRPr="00D21E51">
              <w:rPr>
                <w:b/>
                <w:bCs/>
              </w:rPr>
              <w:t>izvrš</w:t>
            </w:r>
            <w:proofErr w:type="spellEnd"/>
            <w:r w:rsidRPr="00D21E51">
              <w:rPr>
                <w:b/>
                <w:bCs/>
              </w:rPr>
              <w:t>/izvrš.202</w:t>
            </w:r>
            <w:r w:rsidR="008555EF">
              <w:rPr>
                <w:b/>
                <w:bCs/>
              </w:rPr>
              <w:t>4</w:t>
            </w:r>
          </w:p>
        </w:tc>
        <w:tc>
          <w:tcPr>
            <w:tcW w:w="1178" w:type="dxa"/>
            <w:hideMark/>
          </w:tcPr>
          <w:p w14:paraId="5F5E8266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 xml:space="preserve">Indeks </w:t>
            </w:r>
            <w:proofErr w:type="spellStart"/>
            <w:r w:rsidRPr="00D21E51">
              <w:rPr>
                <w:b/>
                <w:bCs/>
              </w:rPr>
              <w:t>izvrš</w:t>
            </w:r>
            <w:proofErr w:type="spellEnd"/>
            <w:r w:rsidRPr="00D21E51">
              <w:rPr>
                <w:b/>
                <w:bCs/>
              </w:rPr>
              <w:t>-/tek. Plan</w:t>
            </w:r>
          </w:p>
        </w:tc>
      </w:tr>
      <w:tr w:rsidR="00D21E51" w:rsidRPr="00D21E51" w14:paraId="7C9E45F5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46CF8CCB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</w:p>
        </w:tc>
        <w:tc>
          <w:tcPr>
            <w:tcW w:w="1224" w:type="dxa"/>
            <w:noWrap/>
            <w:hideMark/>
          </w:tcPr>
          <w:p w14:paraId="23592BED" w14:textId="35488F57" w:rsidR="00D21E51" w:rsidRPr="00D21E51" w:rsidRDefault="00D21E51" w:rsidP="0023768C">
            <w:pPr>
              <w:jc w:val="center"/>
              <w:rPr>
                <w:b/>
                <w:bCs/>
              </w:rPr>
            </w:pPr>
            <w:r w:rsidRPr="00D21E51">
              <w:rPr>
                <w:b/>
                <w:bCs/>
              </w:rPr>
              <w:t>I-VI.202</w:t>
            </w:r>
            <w:r w:rsidR="00094104">
              <w:rPr>
                <w:b/>
                <w:bCs/>
              </w:rPr>
              <w:t>4</w:t>
            </w:r>
          </w:p>
        </w:tc>
        <w:tc>
          <w:tcPr>
            <w:tcW w:w="1394" w:type="dxa"/>
            <w:noWrap/>
            <w:hideMark/>
          </w:tcPr>
          <w:p w14:paraId="2EF6F752" w14:textId="65049699" w:rsidR="00D21E51" w:rsidRPr="00D21E51" w:rsidRDefault="00D21E51" w:rsidP="0023768C">
            <w:pPr>
              <w:jc w:val="center"/>
              <w:rPr>
                <w:b/>
                <w:bCs/>
              </w:rPr>
            </w:pPr>
            <w:r w:rsidRPr="00D21E51">
              <w:rPr>
                <w:b/>
                <w:bCs/>
              </w:rPr>
              <w:t>202</w:t>
            </w:r>
            <w:r w:rsidR="00094104">
              <w:rPr>
                <w:b/>
                <w:bCs/>
              </w:rPr>
              <w:t>5</w:t>
            </w:r>
          </w:p>
        </w:tc>
        <w:tc>
          <w:tcPr>
            <w:tcW w:w="1316" w:type="dxa"/>
            <w:noWrap/>
            <w:hideMark/>
          </w:tcPr>
          <w:p w14:paraId="537ABE8F" w14:textId="697E9289" w:rsidR="00D21E51" w:rsidRPr="00D21E51" w:rsidRDefault="00D21E51" w:rsidP="0023768C">
            <w:pPr>
              <w:jc w:val="center"/>
              <w:rPr>
                <w:b/>
                <w:bCs/>
              </w:rPr>
            </w:pPr>
            <w:r w:rsidRPr="00D21E51">
              <w:rPr>
                <w:b/>
                <w:bCs/>
              </w:rPr>
              <w:t>I-VI.202</w:t>
            </w:r>
            <w:r w:rsidR="00094104">
              <w:rPr>
                <w:b/>
                <w:bCs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26ED4F83" w14:textId="77777777" w:rsidR="00D21E51" w:rsidRPr="00D21E51" w:rsidRDefault="00D21E51" w:rsidP="0023768C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noWrap/>
            <w:hideMark/>
          </w:tcPr>
          <w:p w14:paraId="79102D14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</w:p>
        </w:tc>
      </w:tr>
      <w:tr w:rsidR="00D21E51" w:rsidRPr="00D21E51" w14:paraId="4080E226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5EEEC535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6 Prihodi poslovanja</w:t>
            </w:r>
          </w:p>
        </w:tc>
        <w:tc>
          <w:tcPr>
            <w:tcW w:w="1224" w:type="dxa"/>
            <w:noWrap/>
            <w:hideMark/>
          </w:tcPr>
          <w:p w14:paraId="0910702D" w14:textId="330CB7DD" w:rsidR="00094104" w:rsidRPr="00D21E51" w:rsidRDefault="00094104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632.681,03</w:t>
            </w:r>
          </w:p>
        </w:tc>
        <w:tc>
          <w:tcPr>
            <w:tcW w:w="1394" w:type="dxa"/>
            <w:noWrap/>
            <w:hideMark/>
          </w:tcPr>
          <w:p w14:paraId="56AC33BB" w14:textId="36735A7D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1.</w:t>
            </w:r>
            <w:r w:rsidR="000F02E9">
              <w:rPr>
                <w:b/>
                <w:bCs/>
              </w:rPr>
              <w:t>803.500,00</w:t>
            </w:r>
          </w:p>
        </w:tc>
        <w:tc>
          <w:tcPr>
            <w:tcW w:w="1316" w:type="dxa"/>
            <w:noWrap/>
            <w:hideMark/>
          </w:tcPr>
          <w:p w14:paraId="27496E6B" w14:textId="2165AB05" w:rsidR="00D21E51" w:rsidRPr="00D21E51" w:rsidRDefault="000A180E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871.886,35</w:t>
            </w:r>
          </w:p>
        </w:tc>
        <w:tc>
          <w:tcPr>
            <w:tcW w:w="1276" w:type="dxa"/>
            <w:noWrap/>
            <w:hideMark/>
          </w:tcPr>
          <w:p w14:paraId="471DBE69" w14:textId="7D854FA7" w:rsidR="00D21E51" w:rsidRPr="00D21E51" w:rsidRDefault="008555EF" w:rsidP="00141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B6982">
              <w:rPr>
                <w:b/>
                <w:bCs/>
              </w:rPr>
              <w:t>8</w:t>
            </w:r>
            <w:r w:rsidR="00D21E51" w:rsidRPr="00D21E51">
              <w:rPr>
                <w:b/>
                <w:bCs/>
              </w:rPr>
              <w:t>%</w:t>
            </w:r>
          </w:p>
        </w:tc>
        <w:tc>
          <w:tcPr>
            <w:tcW w:w="1178" w:type="dxa"/>
            <w:noWrap/>
            <w:hideMark/>
          </w:tcPr>
          <w:p w14:paraId="5B1E9D2E" w14:textId="4D021283" w:rsidR="00D21E51" w:rsidRPr="00D21E51" w:rsidRDefault="000B6982" w:rsidP="00141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48%</w:t>
            </w:r>
          </w:p>
        </w:tc>
      </w:tr>
      <w:tr w:rsidR="00D21E51" w:rsidRPr="00D21E51" w14:paraId="5451DAAC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2B70AFFC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7 Prihodi od prodaje nefinancijske imovine</w:t>
            </w:r>
          </w:p>
        </w:tc>
        <w:tc>
          <w:tcPr>
            <w:tcW w:w="1224" w:type="dxa"/>
            <w:noWrap/>
            <w:hideMark/>
          </w:tcPr>
          <w:p w14:paraId="1D1C2AC5" w14:textId="56086891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D21E51" w:rsidRPr="00D21E51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</w:p>
        </w:tc>
        <w:tc>
          <w:tcPr>
            <w:tcW w:w="1394" w:type="dxa"/>
            <w:noWrap/>
            <w:hideMark/>
          </w:tcPr>
          <w:p w14:paraId="5CA18156" w14:textId="1A2AB98A" w:rsidR="00D21E51" w:rsidRPr="00D21E51" w:rsidRDefault="00D21E51" w:rsidP="000A180E">
            <w:pPr>
              <w:jc w:val="right"/>
              <w:rPr>
                <w:b/>
                <w:bCs/>
              </w:rPr>
            </w:pPr>
            <w:r w:rsidRPr="00D21E51">
              <w:rPr>
                <w:b/>
                <w:bCs/>
              </w:rPr>
              <w:t>0</w:t>
            </w:r>
            <w:r w:rsidR="0023768C">
              <w:rPr>
                <w:b/>
                <w:bCs/>
              </w:rPr>
              <w:t>,00</w:t>
            </w:r>
          </w:p>
        </w:tc>
        <w:tc>
          <w:tcPr>
            <w:tcW w:w="1316" w:type="dxa"/>
            <w:noWrap/>
            <w:hideMark/>
          </w:tcPr>
          <w:p w14:paraId="3AEB9BCE" w14:textId="71D6B6FE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D21E51" w:rsidRPr="00D21E51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noWrap/>
            <w:hideMark/>
          </w:tcPr>
          <w:p w14:paraId="7BC50653" w14:textId="77777777" w:rsidR="00D21E51" w:rsidRPr="00D21E51" w:rsidRDefault="00D21E51" w:rsidP="00141959">
            <w:pPr>
              <w:jc w:val="right"/>
              <w:rPr>
                <w:b/>
                <w:bCs/>
              </w:rPr>
            </w:pPr>
            <w:r w:rsidRPr="00D21E51">
              <w:rPr>
                <w:b/>
                <w:bCs/>
              </w:rPr>
              <w:t>0%</w:t>
            </w:r>
          </w:p>
        </w:tc>
        <w:tc>
          <w:tcPr>
            <w:tcW w:w="1178" w:type="dxa"/>
            <w:noWrap/>
            <w:hideMark/>
          </w:tcPr>
          <w:p w14:paraId="50908BD9" w14:textId="77777777" w:rsidR="00D21E51" w:rsidRPr="00D21E51" w:rsidRDefault="00D21E51" w:rsidP="00141959">
            <w:pPr>
              <w:jc w:val="right"/>
              <w:rPr>
                <w:b/>
                <w:bCs/>
              </w:rPr>
            </w:pPr>
            <w:r w:rsidRPr="00D21E51">
              <w:rPr>
                <w:b/>
                <w:bCs/>
              </w:rPr>
              <w:t>0%</w:t>
            </w:r>
          </w:p>
        </w:tc>
      </w:tr>
      <w:tr w:rsidR="00D21E51" w:rsidRPr="00D21E51" w14:paraId="2F9C6B98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633EE654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3 Rashodi poslovanja</w:t>
            </w:r>
          </w:p>
        </w:tc>
        <w:tc>
          <w:tcPr>
            <w:tcW w:w="1224" w:type="dxa"/>
            <w:noWrap/>
            <w:hideMark/>
          </w:tcPr>
          <w:p w14:paraId="7F17094A" w14:textId="3F23D114" w:rsidR="00D21E51" w:rsidRPr="00D21E51" w:rsidRDefault="00094104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502.401,22</w:t>
            </w:r>
          </w:p>
        </w:tc>
        <w:tc>
          <w:tcPr>
            <w:tcW w:w="1394" w:type="dxa"/>
            <w:noWrap/>
            <w:hideMark/>
          </w:tcPr>
          <w:p w14:paraId="31CC67DA" w14:textId="7EF3B745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1.</w:t>
            </w:r>
            <w:r w:rsidR="000F02E9">
              <w:rPr>
                <w:b/>
                <w:bCs/>
              </w:rPr>
              <w:t>761.500,00</w:t>
            </w:r>
          </w:p>
        </w:tc>
        <w:tc>
          <w:tcPr>
            <w:tcW w:w="1316" w:type="dxa"/>
            <w:noWrap/>
            <w:hideMark/>
          </w:tcPr>
          <w:p w14:paraId="09B8D55D" w14:textId="13071337" w:rsidR="00D21E51" w:rsidRPr="00D21E51" w:rsidRDefault="000A180E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762.526,05</w:t>
            </w:r>
          </w:p>
        </w:tc>
        <w:tc>
          <w:tcPr>
            <w:tcW w:w="1276" w:type="dxa"/>
            <w:noWrap/>
            <w:hideMark/>
          </w:tcPr>
          <w:p w14:paraId="12DE08FC" w14:textId="18508ED3" w:rsidR="00D21E51" w:rsidRPr="00D21E51" w:rsidRDefault="000B6982" w:rsidP="00141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  <w:r w:rsidR="00D21E51" w:rsidRPr="00D21E51">
              <w:rPr>
                <w:b/>
                <w:bCs/>
              </w:rPr>
              <w:t>%</w:t>
            </w:r>
          </w:p>
        </w:tc>
        <w:tc>
          <w:tcPr>
            <w:tcW w:w="1178" w:type="dxa"/>
            <w:noWrap/>
            <w:hideMark/>
          </w:tcPr>
          <w:p w14:paraId="6B0B67DD" w14:textId="612955FF" w:rsidR="00D21E51" w:rsidRPr="00D21E51" w:rsidRDefault="000B6982" w:rsidP="00141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D21E51" w:rsidRPr="00D21E51">
              <w:rPr>
                <w:b/>
                <w:bCs/>
              </w:rPr>
              <w:t>%</w:t>
            </w:r>
          </w:p>
        </w:tc>
      </w:tr>
      <w:tr w:rsidR="00D21E51" w:rsidRPr="00D21E51" w14:paraId="5992D38B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1ED865AF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4 Rashodi za nabavu nefinancijske imovine</w:t>
            </w:r>
          </w:p>
        </w:tc>
        <w:tc>
          <w:tcPr>
            <w:tcW w:w="1224" w:type="dxa"/>
            <w:noWrap/>
            <w:hideMark/>
          </w:tcPr>
          <w:p w14:paraId="6EC1BEA4" w14:textId="29A99368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094104">
              <w:rPr>
                <w:b/>
                <w:bCs/>
              </w:rPr>
              <w:t>9.233,21</w:t>
            </w:r>
          </w:p>
        </w:tc>
        <w:tc>
          <w:tcPr>
            <w:tcW w:w="1394" w:type="dxa"/>
            <w:noWrap/>
            <w:hideMark/>
          </w:tcPr>
          <w:p w14:paraId="19BB9224" w14:textId="24F08442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0F02E9">
              <w:rPr>
                <w:b/>
                <w:bCs/>
              </w:rPr>
              <w:t>83.000,00</w:t>
            </w:r>
          </w:p>
        </w:tc>
        <w:tc>
          <w:tcPr>
            <w:tcW w:w="1316" w:type="dxa"/>
            <w:noWrap/>
            <w:hideMark/>
          </w:tcPr>
          <w:p w14:paraId="4BE22C98" w14:textId="2C0B9B8B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8555EF">
              <w:rPr>
                <w:b/>
                <w:bCs/>
              </w:rPr>
              <w:t>59.727,76</w:t>
            </w:r>
          </w:p>
        </w:tc>
        <w:tc>
          <w:tcPr>
            <w:tcW w:w="1276" w:type="dxa"/>
            <w:noWrap/>
            <w:hideMark/>
          </w:tcPr>
          <w:p w14:paraId="3ED5A1EE" w14:textId="53B006B7" w:rsidR="00D21E51" w:rsidRPr="00D21E51" w:rsidRDefault="003C6B32" w:rsidP="00141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646</w:t>
            </w:r>
            <w:r w:rsidR="00D21E51" w:rsidRPr="00D21E51">
              <w:rPr>
                <w:b/>
                <w:bCs/>
              </w:rPr>
              <w:t>%</w:t>
            </w:r>
          </w:p>
        </w:tc>
        <w:tc>
          <w:tcPr>
            <w:tcW w:w="1178" w:type="dxa"/>
            <w:noWrap/>
            <w:hideMark/>
          </w:tcPr>
          <w:p w14:paraId="24B1F1B8" w14:textId="2756436A" w:rsidR="00D21E51" w:rsidRPr="00D21E51" w:rsidRDefault="003C6B32" w:rsidP="00141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  <w:r w:rsidR="00D21E51" w:rsidRPr="00D21E51">
              <w:rPr>
                <w:b/>
                <w:bCs/>
              </w:rPr>
              <w:t>%</w:t>
            </w:r>
          </w:p>
        </w:tc>
      </w:tr>
      <w:tr w:rsidR="00D21E51" w:rsidRPr="00D21E51" w14:paraId="2E60D7E7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70CA6212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Razlika -višak / manjak</w:t>
            </w:r>
          </w:p>
        </w:tc>
        <w:tc>
          <w:tcPr>
            <w:tcW w:w="1224" w:type="dxa"/>
            <w:noWrap/>
            <w:hideMark/>
          </w:tcPr>
          <w:p w14:paraId="1F213FEE" w14:textId="4370179A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12</w:t>
            </w:r>
            <w:r w:rsidR="00094104">
              <w:rPr>
                <w:b/>
                <w:bCs/>
              </w:rPr>
              <w:t>1.046,60</w:t>
            </w:r>
          </w:p>
        </w:tc>
        <w:tc>
          <w:tcPr>
            <w:tcW w:w="1394" w:type="dxa"/>
            <w:noWrap/>
            <w:hideMark/>
          </w:tcPr>
          <w:p w14:paraId="599E5CCF" w14:textId="4749FE57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D21E51" w:rsidRPr="00D21E51">
              <w:rPr>
                <w:b/>
                <w:bCs/>
              </w:rPr>
              <w:t>-</w:t>
            </w:r>
            <w:r w:rsidR="000A180E">
              <w:rPr>
                <w:b/>
                <w:bCs/>
              </w:rPr>
              <w:t>41.000,00</w:t>
            </w:r>
          </w:p>
        </w:tc>
        <w:tc>
          <w:tcPr>
            <w:tcW w:w="1316" w:type="dxa"/>
            <w:noWrap/>
            <w:hideMark/>
          </w:tcPr>
          <w:p w14:paraId="2B5B58C0" w14:textId="4B340184" w:rsidR="00D21E51" w:rsidRPr="00D21E51" w:rsidRDefault="008555EF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49.632,54</w:t>
            </w:r>
          </w:p>
        </w:tc>
        <w:tc>
          <w:tcPr>
            <w:tcW w:w="1276" w:type="dxa"/>
            <w:noWrap/>
            <w:hideMark/>
          </w:tcPr>
          <w:p w14:paraId="6A6898A3" w14:textId="080C11BF" w:rsidR="00D21E51" w:rsidRPr="00D21E51" w:rsidRDefault="003C6B32" w:rsidP="00141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D21E51" w:rsidRPr="00D21E51">
              <w:rPr>
                <w:b/>
                <w:bCs/>
              </w:rPr>
              <w:t>%</w:t>
            </w:r>
          </w:p>
        </w:tc>
        <w:tc>
          <w:tcPr>
            <w:tcW w:w="1178" w:type="dxa"/>
            <w:noWrap/>
            <w:hideMark/>
          </w:tcPr>
          <w:p w14:paraId="49B48BB7" w14:textId="317A54E5" w:rsidR="00D21E51" w:rsidRPr="00D21E51" w:rsidRDefault="00D21E51" w:rsidP="00141959">
            <w:pPr>
              <w:jc w:val="right"/>
              <w:rPr>
                <w:b/>
                <w:bCs/>
              </w:rPr>
            </w:pPr>
            <w:r w:rsidRPr="00D21E51">
              <w:rPr>
                <w:b/>
                <w:bCs/>
              </w:rPr>
              <w:t>-</w:t>
            </w:r>
            <w:r w:rsidR="003C6B32">
              <w:rPr>
                <w:b/>
                <w:bCs/>
              </w:rPr>
              <w:t>121</w:t>
            </w:r>
            <w:r w:rsidRPr="00D21E51">
              <w:rPr>
                <w:b/>
                <w:bCs/>
              </w:rPr>
              <w:t>%</w:t>
            </w:r>
          </w:p>
        </w:tc>
      </w:tr>
      <w:tr w:rsidR="00D21E51" w:rsidRPr="00D21E51" w14:paraId="06F43024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54478C63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UKUPNO DONOS VIŠAK/ MANJKA IZ PRETHODNE GODINE</w:t>
            </w:r>
          </w:p>
        </w:tc>
        <w:tc>
          <w:tcPr>
            <w:tcW w:w="1224" w:type="dxa"/>
            <w:noWrap/>
            <w:hideMark/>
          </w:tcPr>
          <w:p w14:paraId="57E19924" w14:textId="64041AB2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94104">
              <w:rPr>
                <w:b/>
                <w:bCs/>
              </w:rPr>
              <w:t>69.967,31</w:t>
            </w:r>
          </w:p>
        </w:tc>
        <w:tc>
          <w:tcPr>
            <w:tcW w:w="1394" w:type="dxa"/>
            <w:noWrap/>
            <w:hideMark/>
          </w:tcPr>
          <w:p w14:paraId="54B51678" w14:textId="7AA023C9" w:rsid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0A180E">
              <w:rPr>
                <w:b/>
                <w:bCs/>
              </w:rPr>
              <w:t>41.000,00</w:t>
            </w:r>
          </w:p>
          <w:p w14:paraId="04BCD87E" w14:textId="191393A4" w:rsidR="000A180E" w:rsidRPr="00D21E51" w:rsidRDefault="000A180E" w:rsidP="00D21E51">
            <w:pPr>
              <w:jc w:val="both"/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14:paraId="5BCA0827" w14:textId="67023307" w:rsidR="00D21E51" w:rsidRPr="00D21E51" w:rsidRDefault="0023768C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555EF">
              <w:rPr>
                <w:b/>
                <w:bCs/>
              </w:rPr>
              <w:t xml:space="preserve"> 86.395,94</w:t>
            </w:r>
          </w:p>
        </w:tc>
        <w:tc>
          <w:tcPr>
            <w:tcW w:w="1276" w:type="dxa"/>
            <w:noWrap/>
            <w:hideMark/>
          </w:tcPr>
          <w:p w14:paraId="70A7AAB7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6B4D138E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-</w:t>
            </w:r>
          </w:p>
        </w:tc>
      </w:tr>
      <w:tr w:rsidR="00D21E51" w:rsidRPr="00D21E51" w14:paraId="24241688" w14:textId="77777777" w:rsidTr="00141959">
        <w:trPr>
          <w:trHeight w:val="300"/>
        </w:trPr>
        <w:tc>
          <w:tcPr>
            <w:tcW w:w="4566" w:type="dxa"/>
            <w:noWrap/>
            <w:hideMark/>
          </w:tcPr>
          <w:p w14:paraId="60E78ACD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Ukupno višak/manjak +donos iz prethodne godine</w:t>
            </w:r>
          </w:p>
        </w:tc>
        <w:tc>
          <w:tcPr>
            <w:tcW w:w="1224" w:type="dxa"/>
            <w:noWrap/>
            <w:hideMark/>
          </w:tcPr>
          <w:p w14:paraId="2DC4BD61" w14:textId="4BD68E1A" w:rsidR="00D21E51" w:rsidRPr="00D21E51" w:rsidRDefault="00094104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191.013,91</w:t>
            </w:r>
          </w:p>
        </w:tc>
        <w:tc>
          <w:tcPr>
            <w:tcW w:w="1394" w:type="dxa"/>
            <w:noWrap/>
            <w:hideMark/>
          </w:tcPr>
          <w:p w14:paraId="43712EAD" w14:textId="77777777" w:rsidR="00D21E51" w:rsidRDefault="000A180E" w:rsidP="000A18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  <w:p w14:paraId="6FA20315" w14:textId="6C846AEF" w:rsidR="000A180E" w:rsidRPr="00D21E51" w:rsidRDefault="000A180E" w:rsidP="000A180E">
            <w:pPr>
              <w:jc w:val="right"/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14:paraId="355D3C75" w14:textId="33588C11" w:rsidR="00D21E51" w:rsidRPr="00D21E51" w:rsidRDefault="008555EF" w:rsidP="00D21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136.028,48</w:t>
            </w:r>
          </w:p>
        </w:tc>
        <w:tc>
          <w:tcPr>
            <w:tcW w:w="1276" w:type="dxa"/>
            <w:noWrap/>
            <w:hideMark/>
          </w:tcPr>
          <w:p w14:paraId="54E529D9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76833F66" w14:textId="77777777" w:rsidR="00D21E51" w:rsidRPr="00D21E51" w:rsidRDefault="00D21E51" w:rsidP="00D21E51">
            <w:pPr>
              <w:jc w:val="both"/>
              <w:rPr>
                <w:b/>
                <w:bCs/>
              </w:rPr>
            </w:pPr>
            <w:r w:rsidRPr="00D21E51">
              <w:rPr>
                <w:b/>
                <w:bCs/>
              </w:rPr>
              <w:t>-</w:t>
            </w:r>
          </w:p>
        </w:tc>
      </w:tr>
    </w:tbl>
    <w:p w14:paraId="31A9A41E" w14:textId="472D2C98" w:rsidR="00D21E51" w:rsidRDefault="00D21E51" w:rsidP="00DA2592">
      <w:pPr>
        <w:jc w:val="both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LINK </w:instrText>
      </w:r>
      <w:r w:rsidR="00E364EB">
        <w:rPr>
          <w:b/>
          <w:bCs/>
        </w:rPr>
        <w:instrText xml:space="preserve">Excel.Sheet.12 https://alphacapitalishr.sharepoint.com/sites/Racunovodstvo/Shared%20Documents/01%20Klijenti/pučko/IZVJEŠTAJI%20PUČKO/PR-RAS%206-2024/izvještaj%20o%20izvršenju%20plana%206-2024/IZVJEŠTAJ%206-2024.xlsx List3!R1C1:R9C6 </w:instrText>
      </w:r>
      <w:r>
        <w:rPr>
          <w:b/>
          <w:bCs/>
        </w:rPr>
        <w:instrText xml:space="preserve">\a \f 5 \h  \* MERGEFORMAT </w:instrText>
      </w:r>
      <w:r>
        <w:rPr>
          <w:b/>
          <w:bCs/>
        </w:rPr>
        <w:fldChar w:fldCharType="separate"/>
      </w:r>
    </w:p>
    <w:p w14:paraId="7554315C" w14:textId="0300F578" w:rsidR="00DA2592" w:rsidRPr="00DA2592" w:rsidRDefault="00D21E51" w:rsidP="00DA2592">
      <w:pPr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6DE42E79" w14:textId="3F0C46F4" w:rsidR="00234419" w:rsidRPr="00234419" w:rsidRDefault="00234419" w:rsidP="005432CE">
      <w:pPr>
        <w:pStyle w:val="TEKST-JOSIPAA"/>
        <w:spacing w:after="0" w:line="276" w:lineRule="auto"/>
        <w:rPr>
          <w:rFonts w:asciiTheme="minorHAnsi" w:hAnsiTheme="minorHAnsi" w:cstheme="minorHAnsi"/>
        </w:rPr>
      </w:pPr>
      <w:r w:rsidRPr="00234419">
        <w:rPr>
          <w:rFonts w:asciiTheme="minorHAnsi" w:hAnsiTheme="minorHAnsi" w:cstheme="minorHAnsi"/>
        </w:rPr>
        <w:lastRenderedPageBreak/>
        <w:t>Razlika ostvarenih prihoda/primitaka i izvršenih rashoda/izdataka proračuna tijekom 202</w:t>
      </w:r>
      <w:r w:rsidR="003C6B32">
        <w:rPr>
          <w:rFonts w:asciiTheme="minorHAnsi" w:hAnsiTheme="minorHAnsi" w:cstheme="minorHAnsi"/>
        </w:rPr>
        <w:t>5</w:t>
      </w:r>
      <w:r w:rsidR="00AA6304">
        <w:rPr>
          <w:rFonts w:asciiTheme="minorHAnsi" w:hAnsiTheme="minorHAnsi" w:cstheme="minorHAnsi"/>
        </w:rPr>
        <w:t>.</w:t>
      </w:r>
      <w:r w:rsidRPr="00234419">
        <w:rPr>
          <w:rFonts w:asciiTheme="minorHAnsi" w:hAnsiTheme="minorHAnsi" w:cstheme="minorHAnsi"/>
        </w:rPr>
        <w:t xml:space="preserve"> godine je tekući suficit proračuna (rezultat godine) u iznosu od</w:t>
      </w:r>
      <w:r w:rsidR="00D21E51">
        <w:rPr>
          <w:rFonts w:asciiTheme="minorHAnsi" w:hAnsiTheme="minorHAnsi" w:cstheme="minorHAnsi"/>
        </w:rPr>
        <w:t xml:space="preserve"> </w:t>
      </w:r>
      <w:r w:rsidR="003C6B32">
        <w:rPr>
          <w:rFonts w:asciiTheme="minorHAnsi" w:hAnsiTheme="minorHAnsi" w:cstheme="minorHAnsi"/>
        </w:rPr>
        <w:t>49.632,54</w:t>
      </w:r>
      <w:r w:rsidR="00D21E51">
        <w:rPr>
          <w:rFonts w:asciiTheme="minorHAnsi" w:hAnsiTheme="minorHAnsi" w:cstheme="minorHAnsi"/>
        </w:rPr>
        <w:t xml:space="preserve"> EUR</w:t>
      </w:r>
      <w:r w:rsidRPr="00234419">
        <w:rPr>
          <w:rFonts w:asciiTheme="minorHAnsi" w:hAnsiTheme="minorHAnsi" w:cstheme="minorHAnsi"/>
        </w:rPr>
        <w:t>.</w:t>
      </w:r>
    </w:p>
    <w:p w14:paraId="39457501" w14:textId="38161233" w:rsidR="00DA40BE" w:rsidRDefault="00234419" w:rsidP="005432CE">
      <w:pPr>
        <w:spacing w:line="276" w:lineRule="auto"/>
        <w:jc w:val="both"/>
        <w:rPr>
          <w:rFonts w:cstheme="minorHAnsi"/>
        </w:rPr>
      </w:pPr>
      <w:r w:rsidRPr="00234419">
        <w:rPr>
          <w:rFonts w:cstheme="minorHAnsi"/>
        </w:rPr>
        <w:t>Donošenjem Odluke o raspodjeli rezultata poslovanja za 202</w:t>
      </w:r>
      <w:r w:rsidR="003C6B32">
        <w:rPr>
          <w:rFonts w:cstheme="minorHAnsi"/>
        </w:rPr>
        <w:t>4</w:t>
      </w:r>
      <w:r w:rsidRPr="00234419">
        <w:rPr>
          <w:rFonts w:cstheme="minorHAnsi"/>
        </w:rPr>
        <w:t>. izvršili su se preduvjeti za uključivanje konačnog rezultata iz 202</w:t>
      </w:r>
      <w:r w:rsidR="003C6B32">
        <w:rPr>
          <w:rFonts w:cstheme="minorHAnsi"/>
        </w:rPr>
        <w:t>4.</w:t>
      </w:r>
      <w:r w:rsidRPr="00234419">
        <w:rPr>
          <w:rFonts w:cstheme="minorHAnsi"/>
        </w:rPr>
        <w:t xml:space="preserve"> utvrđenog po izvorima financiranja koji se uključio u proračun Izmjenama i dopunama proračuna. Kada se tekućem rezultatu polugodišnjeg razdoblja </w:t>
      </w:r>
      <w:r w:rsidR="003C6B32">
        <w:rPr>
          <w:rFonts w:cstheme="minorHAnsi"/>
        </w:rPr>
        <w:t>49.632,54</w:t>
      </w:r>
      <w:r w:rsidR="00D21E51">
        <w:rPr>
          <w:rFonts w:cstheme="minorHAnsi"/>
        </w:rPr>
        <w:t xml:space="preserve"> EUR</w:t>
      </w:r>
      <w:r w:rsidRPr="00234419">
        <w:rPr>
          <w:rFonts w:cstheme="minorHAnsi"/>
        </w:rPr>
        <w:t xml:space="preserve"> pribroji preneseni višak iz 202</w:t>
      </w:r>
      <w:r w:rsidR="003C6B32">
        <w:rPr>
          <w:rFonts w:cstheme="minorHAnsi"/>
        </w:rPr>
        <w:t>4</w:t>
      </w:r>
      <w:r w:rsidRPr="00234419">
        <w:rPr>
          <w:rFonts w:cstheme="minorHAnsi"/>
        </w:rPr>
        <w:t>. ukupni višak za razdoblje od I-VI. 202</w:t>
      </w:r>
      <w:r w:rsidR="003C6B32">
        <w:rPr>
          <w:rFonts w:cstheme="minorHAnsi"/>
        </w:rPr>
        <w:t>5</w:t>
      </w:r>
      <w:r w:rsidRPr="00234419">
        <w:rPr>
          <w:rFonts w:cstheme="minorHAnsi"/>
        </w:rPr>
        <w:t xml:space="preserve">. godine iznosi </w:t>
      </w:r>
      <w:r w:rsidR="003C6B32">
        <w:rPr>
          <w:rFonts w:cstheme="minorHAnsi"/>
        </w:rPr>
        <w:t>136.028,48</w:t>
      </w:r>
      <w:r w:rsidR="00D21E51">
        <w:rPr>
          <w:rFonts w:cstheme="minorHAnsi"/>
        </w:rPr>
        <w:t xml:space="preserve"> EUR</w:t>
      </w:r>
      <w:r w:rsidRPr="00234419">
        <w:rPr>
          <w:rFonts w:cstheme="minorHAnsi"/>
        </w:rPr>
        <w:t>.</w:t>
      </w:r>
    </w:p>
    <w:p w14:paraId="530D3134" w14:textId="77777777" w:rsidR="00141959" w:rsidRDefault="00141959" w:rsidP="00234419">
      <w:pPr>
        <w:spacing w:line="276" w:lineRule="auto"/>
        <w:jc w:val="both"/>
        <w:rPr>
          <w:rFonts w:cstheme="minorHAnsi"/>
        </w:rPr>
      </w:pPr>
    </w:p>
    <w:p w14:paraId="4A34E8FF" w14:textId="77777777" w:rsidR="0012437A" w:rsidRDefault="0012437A" w:rsidP="00234419">
      <w:pPr>
        <w:spacing w:line="276" w:lineRule="auto"/>
        <w:jc w:val="both"/>
        <w:rPr>
          <w:rFonts w:cstheme="minorHAnsi"/>
        </w:rPr>
      </w:pPr>
    </w:p>
    <w:p w14:paraId="47AE6151" w14:textId="6E4ACC68" w:rsidR="00B6054B" w:rsidRDefault="00076A01" w:rsidP="00076A01">
      <w:pPr>
        <w:pStyle w:val="Odlomakpopisa"/>
        <w:numPr>
          <w:ilvl w:val="1"/>
          <w:numId w:val="1"/>
        </w:num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Preneseni </w:t>
      </w:r>
      <w:r w:rsidR="00B6054B" w:rsidRPr="00076A01">
        <w:rPr>
          <w:rFonts w:cstheme="minorHAnsi"/>
          <w:b/>
          <w:bCs/>
        </w:rPr>
        <w:t>višak/manjak  proračuna</w:t>
      </w:r>
    </w:p>
    <w:p w14:paraId="37456B17" w14:textId="1933D419" w:rsidR="00076A01" w:rsidRPr="00076A01" w:rsidRDefault="00076A01" w:rsidP="00076A01">
      <w:pPr>
        <w:autoSpaceDE w:val="0"/>
        <w:autoSpaceDN w:val="0"/>
        <w:adjustRightInd w:val="0"/>
        <w:jc w:val="both"/>
        <w:rPr>
          <w:i/>
          <w:iCs/>
        </w:rPr>
      </w:pPr>
      <w:r w:rsidRPr="000F79B4">
        <w:t>Višak prihoda iz 202</w:t>
      </w:r>
      <w:r w:rsidR="003C6B32">
        <w:t>4</w:t>
      </w:r>
      <w:r w:rsidR="00826415">
        <w:t>.</w:t>
      </w:r>
      <w:r w:rsidRPr="000F79B4">
        <w:t xml:space="preserve"> godine </w:t>
      </w:r>
      <w:r>
        <w:t xml:space="preserve">se odnosi na </w:t>
      </w:r>
      <w:r w:rsidR="00826415">
        <w:t xml:space="preserve">višak vlastitih prihoda, viška od pomoći te donacija, a manjak </w:t>
      </w:r>
      <w:r w:rsidR="0012437A">
        <w:t xml:space="preserve">se odnosi na manjak </w:t>
      </w:r>
      <w:r w:rsidR="00826415">
        <w:t>prihoda iz Grada za financiranje poslovanja. Prikaz viška/manjka po izvorima financiranja prikazan je u tablici:</w:t>
      </w:r>
    </w:p>
    <w:p w14:paraId="119AF346" w14:textId="2DEB88DD" w:rsidR="00060019" w:rsidRDefault="00060019" w:rsidP="00DD5727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742"/>
        <w:gridCol w:w="4751"/>
      </w:tblGrid>
      <w:tr w:rsidR="00060019" w:rsidRPr="00826415" w14:paraId="6C862604" w14:textId="77777777" w:rsidTr="00BB6A7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  <w:hideMark/>
          </w:tcPr>
          <w:p w14:paraId="007390C9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FFFFFF"/>
                <w:lang w:eastAsia="hr-HR"/>
              </w:rPr>
              <w:t>OBRAČUN VIŠKA I MANJKA PO IZVORIMA ZA 202</w:t>
            </w:r>
            <w:r>
              <w:rPr>
                <w:rFonts w:ascii="Calibri" w:eastAsia="Times New Roman" w:hAnsi="Calibri" w:cs="Calibri"/>
                <w:color w:val="FFFFFF"/>
                <w:lang w:eastAsia="hr-HR"/>
              </w:rPr>
              <w:t>4</w:t>
            </w:r>
            <w:r w:rsidRPr="00826415">
              <w:rPr>
                <w:rFonts w:ascii="Calibri" w:eastAsia="Times New Roman" w:hAnsi="Calibri" w:cs="Calibri"/>
                <w:color w:val="FFFFFF"/>
                <w:lang w:eastAsia="hr-HR"/>
              </w:rPr>
              <w:t>.</w:t>
            </w:r>
          </w:p>
        </w:tc>
      </w:tr>
      <w:tr w:rsidR="00060019" w:rsidRPr="00826415" w14:paraId="3F2C65A4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6D4DBB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VIŠAK PRIHODA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BE211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60019" w:rsidRPr="00826415" w14:paraId="006C944F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18A6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VL. PRIHOD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6A80" w14:textId="77777777" w:rsidR="00060019" w:rsidRPr="00826415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31.472,62</w:t>
            </w:r>
          </w:p>
        </w:tc>
      </w:tr>
      <w:tr w:rsidR="00060019" w:rsidRPr="00826415" w14:paraId="74BA9DBA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C13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POMOĆI - KINOPRIKAZIVAŠTVO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9A5" w14:textId="77777777" w:rsidR="00060019" w:rsidRPr="00826415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17.250,35</w:t>
            </w:r>
          </w:p>
        </w:tc>
      </w:tr>
      <w:tr w:rsidR="00060019" w:rsidRPr="00826415" w14:paraId="07DC769C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105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POM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ĆI - OBRAZOVANJE 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E62" w14:textId="77777777" w:rsidR="00060019" w:rsidRPr="00826415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26.585,48</w:t>
            </w:r>
          </w:p>
        </w:tc>
      </w:tr>
      <w:tr w:rsidR="00060019" w:rsidRPr="00826415" w14:paraId="0AB8E24E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A35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DONACIJA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BB2F" w14:textId="77777777" w:rsidR="00060019" w:rsidRPr="00826415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829,96</w:t>
            </w:r>
          </w:p>
        </w:tc>
      </w:tr>
      <w:tr w:rsidR="00060019" w:rsidRPr="00826415" w14:paraId="0C72562E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70D9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POMOĆI – ERSMUS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1C9C" w14:textId="77777777" w:rsidR="00060019" w:rsidRPr="00826415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16.248,03</w:t>
            </w:r>
          </w:p>
        </w:tc>
      </w:tr>
      <w:tr w:rsidR="00060019" w:rsidRPr="00826415" w14:paraId="477C47F5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DD75" w14:textId="77777777" w:rsidR="00060019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POMOĆI - OPREMA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9491" w14:textId="77777777" w:rsidR="00060019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</w:tr>
      <w:tr w:rsidR="00060019" w:rsidRPr="00826415" w14:paraId="2CACD95E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4E36" w14:textId="77777777" w:rsidR="00060019" w:rsidRPr="009D2623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26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VIŠAK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6AE" w14:textId="77777777" w:rsidR="00060019" w:rsidRPr="009D2623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112.386,44</w:t>
            </w:r>
          </w:p>
        </w:tc>
      </w:tr>
      <w:tr w:rsidR="00060019" w:rsidRPr="00826415" w14:paraId="1A8D0B14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BC1E9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MANJAK PRIHODA 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EB14E3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60019" w:rsidRPr="00826415" w14:paraId="0D9CB845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41A" w14:textId="77777777" w:rsidR="00060019" w:rsidRPr="00826415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D802" w14:textId="77777777" w:rsidR="00060019" w:rsidRPr="00826415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-25.990,50</w:t>
            </w:r>
          </w:p>
        </w:tc>
      </w:tr>
      <w:tr w:rsidR="00060019" w:rsidRPr="00826415" w14:paraId="3B6CE5C3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623" w14:textId="77777777" w:rsidR="00060019" w:rsidRPr="009D2623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26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9F7" w14:textId="77777777" w:rsidR="00060019" w:rsidRPr="009D2623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26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25.990,50 </w:t>
            </w:r>
          </w:p>
        </w:tc>
      </w:tr>
      <w:tr w:rsidR="00060019" w:rsidRPr="00826415" w14:paraId="27E34F33" w14:textId="77777777" w:rsidTr="00BB6A70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5BB74A0C" w14:textId="77777777" w:rsidR="00060019" w:rsidRPr="00E25693" w:rsidRDefault="00060019" w:rsidP="00BB6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E25693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UKUPNO VIŠAK /MANJAK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21A090E4" w14:textId="77777777" w:rsidR="00060019" w:rsidRPr="00E25693" w:rsidRDefault="00060019" w:rsidP="00BB6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86.395,94</w:t>
            </w:r>
          </w:p>
        </w:tc>
      </w:tr>
    </w:tbl>
    <w:p w14:paraId="4D033D9C" w14:textId="728C7615" w:rsidR="00BE3F55" w:rsidRDefault="00DB1D91" w:rsidP="00DD5727">
      <w:pPr>
        <w:spacing w:line="276" w:lineRule="auto"/>
        <w:jc w:val="both"/>
      </w:pPr>
      <w:r>
        <w:rPr>
          <w:rFonts w:cstheme="minorHAnsi"/>
          <w:b/>
          <w:bCs/>
        </w:rPr>
        <w:fldChar w:fldCharType="begin"/>
      </w:r>
      <w:r>
        <w:rPr>
          <w:rFonts w:cstheme="minorHAnsi"/>
          <w:b/>
          <w:bCs/>
        </w:rPr>
        <w:instrText xml:space="preserve"> LINK Excel.Sheet.12 "https://alphacapitalishr.sharepoint.com/sites/Racunovodstvo/Shared Documents/01 Klijenti/pučko/FINACIJSKI PLANOVI/rebalans pou 2024/Kopija datoteke POUS - 1. Opći dio Prijedloga I. izmjene  Financijskog plana za 2024 s projekcijama.xlsx" "List1!R2C1:R12C2" \a \f 5 \h  \* MERGEFORMAT </w:instrText>
      </w:r>
      <w:r>
        <w:rPr>
          <w:rFonts w:cstheme="minorHAnsi"/>
          <w:b/>
          <w:bCs/>
        </w:rPr>
        <w:fldChar w:fldCharType="separate"/>
      </w:r>
    </w:p>
    <w:p w14:paraId="04786BA8" w14:textId="2071BC10" w:rsidR="00DD5727" w:rsidRDefault="00DB1D91" w:rsidP="00DD5727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fldChar w:fldCharType="end"/>
      </w:r>
    </w:p>
    <w:p w14:paraId="5039C9D9" w14:textId="0E02040F" w:rsidR="002E397C" w:rsidRPr="00FD3815" w:rsidRDefault="002E397C" w:rsidP="00FD3815">
      <w:pPr>
        <w:pStyle w:val="Odlomakpopisa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FD3815">
        <w:rPr>
          <w:rFonts w:cstheme="minorHAnsi"/>
          <w:b/>
          <w:bCs/>
        </w:rPr>
        <w:t xml:space="preserve">STANJE NOVČANIH SREDSTAVA </w:t>
      </w:r>
    </w:p>
    <w:p w14:paraId="54016A44" w14:textId="1A6104A6" w:rsidR="002E397C" w:rsidRPr="005130BF" w:rsidRDefault="002E397C" w:rsidP="002E397C">
      <w:pPr>
        <w:spacing w:line="276" w:lineRule="auto"/>
        <w:jc w:val="both"/>
        <w:rPr>
          <w:rFonts w:cstheme="minorHAnsi"/>
        </w:rPr>
      </w:pPr>
      <w:r w:rsidRPr="005130BF">
        <w:rPr>
          <w:rFonts w:cstheme="minorHAnsi"/>
        </w:rPr>
        <w:t xml:space="preserve">Stanje novčanih sredstava na žiro računu otvorenom kod </w:t>
      </w:r>
      <w:proofErr w:type="spellStart"/>
      <w:r w:rsidRPr="005130BF">
        <w:rPr>
          <w:rFonts w:cstheme="minorHAnsi"/>
        </w:rPr>
        <w:t>Erste&amp;Steiermarkische</w:t>
      </w:r>
      <w:proofErr w:type="spellEnd"/>
      <w:r w:rsidRPr="005130BF">
        <w:rPr>
          <w:rFonts w:cstheme="minorHAnsi"/>
        </w:rPr>
        <w:t xml:space="preserve"> </w:t>
      </w:r>
      <w:proofErr w:type="spellStart"/>
      <w:r w:rsidRPr="005130BF">
        <w:rPr>
          <w:rFonts w:cstheme="minorHAnsi"/>
        </w:rPr>
        <w:t>bank</w:t>
      </w:r>
      <w:proofErr w:type="spellEnd"/>
      <w:r w:rsidRPr="005130BF">
        <w:rPr>
          <w:rFonts w:cstheme="minorHAnsi"/>
        </w:rPr>
        <w:t xml:space="preserve"> na dan 3</w:t>
      </w:r>
      <w:r>
        <w:rPr>
          <w:rFonts w:cstheme="minorHAnsi"/>
        </w:rPr>
        <w:t>0.06.202</w:t>
      </w:r>
      <w:r w:rsidR="00D71BFC">
        <w:rPr>
          <w:rFonts w:cstheme="minorHAnsi"/>
        </w:rPr>
        <w:t>5</w:t>
      </w:r>
      <w:r>
        <w:rPr>
          <w:rFonts w:cstheme="minorHAnsi"/>
        </w:rPr>
        <w:t xml:space="preserve">. </w:t>
      </w:r>
      <w:r w:rsidR="00DC28FD">
        <w:rPr>
          <w:rFonts w:cstheme="minorHAnsi"/>
        </w:rPr>
        <w:t xml:space="preserve">iznosi </w:t>
      </w:r>
      <w:r w:rsidR="004541BE">
        <w:rPr>
          <w:rFonts w:cstheme="minorHAnsi"/>
        </w:rPr>
        <w:t>3.298,80</w:t>
      </w:r>
      <w:r w:rsidR="004B21B9">
        <w:rPr>
          <w:rFonts w:cstheme="minorHAnsi"/>
        </w:rPr>
        <w:t xml:space="preserve"> </w:t>
      </w:r>
      <w:r w:rsidR="00DC28FD">
        <w:rPr>
          <w:rFonts w:cstheme="minorHAnsi"/>
        </w:rPr>
        <w:t>EUR</w:t>
      </w:r>
      <w:r w:rsidRPr="005130BF">
        <w:rPr>
          <w:rFonts w:cstheme="minorHAnsi"/>
        </w:rPr>
        <w:t>. Početno stanje na dan 01.01.202</w:t>
      </w:r>
      <w:r w:rsidR="004541BE">
        <w:rPr>
          <w:rFonts w:cstheme="minorHAnsi"/>
        </w:rPr>
        <w:t>5</w:t>
      </w:r>
      <w:r w:rsidR="00DC28FD">
        <w:rPr>
          <w:rFonts w:cstheme="minorHAnsi"/>
        </w:rPr>
        <w:t xml:space="preserve">. </w:t>
      </w:r>
      <w:r w:rsidRPr="005130BF">
        <w:rPr>
          <w:rFonts w:cstheme="minorHAnsi"/>
        </w:rPr>
        <w:t xml:space="preserve"> iznosilo je  </w:t>
      </w:r>
      <w:r w:rsidR="0098445B">
        <w:rPr>
          <w:rFonts w:cstheme="minorHAnsi"/>
        </w:rPr>
        <w:t>4.</w:t>
      </w:r>
      <w:r w:rsidR="004541BE">
        <w:rPr>
          <w:rFonts w:cstheme="minorHAnsi"/>
        </w:rPr>
        <w:t>133,51</w:t>
      </w:r>
      <w:r w:rsidR="0098445B">
        <w:rPr>
          <w:rFonts w:cstheme="minorHAnsi"/>
        </w:rPr>
        <w:t xml:space="preserve"> EUR</w:t>
      </w:r>
    </w:p>
    <w:p w14:paraId="555683C6" w14:textId="30AC0885" w:rsidR="002E397C" w:rsidRPr="005130BF" w:rsidRDefault="002E397C" w:rsidP="002E397C">
      <w:pPr>
        <w:spacing w:line="276" w:lineRule="auto"/>
        <w:jc w:val="both"/>
        <w:rPr>
          <w:rFonts w:cstheme="minorHAnsi"/>
        </w:rPr>
      </w:pPr>
      <w:r w:rsidRPr="005130BF">
        <w:rPr>
          <w:rFonts w:cstheme="minorHAnsi"/>
        </w:rPr>
        <w:t>Stanje novčanih sredstava u blagajni POU Samobor na dan 3</w:t>
      </w:r>
      <w:r w:rsidR="0098445B">
        <w:rPr>
          <w:rFonts w:cstheme="minorHAnsi"/>
        </w:rPr>
        <w:t>0.06.202</w:t>
      </w:r>
      <w:r w:rsidR="004541BE">
        <w:rPr>
          <w:rFonts w:cstheme="minorHAnsi"/>
        </w:rPr>
        <w:t>5</w:t>
      </w:r>
      <w:r w:rsidR="0098445B">
        <w:rPr>
          <w:rFonts w:cstheme="minorHAnsi"/>
        </w:rPr>
        <w:t>.</w:t>
      </w:r>
      <w:r w:rsidR="00925B5D">
        <w:rPr>
          <w:rFonts w:cstheme="minorHAnsi"/>
        </w:rPr>
        <w:t xml:space="preserve"> iznosi </w:t>
      </w:r>
      <w:r w:rsidR="0098445B">
        <w:rPr>
          <w:rFonts w:cstheme="minorHAnsi"/>
        </w:rPr>
        <w:t xml:space="preserve"> </w:t>
      </w:r>
      <w:r w:rsidR="00C96F56">
        <w:rPr>
          <w:rFonts w:cstheme="minorHAnsi"/>
        </w:rPr>
        <w:t xml:space="preserve">1.143,00 </w:t>
      </w:r>
      <w:r w:rsidR="00925B5D">
        <w:rPr>
          <w:rFonts w:cstheme="minorHAnsi"/>
        </w:rPr>
        <w:t>EUR</w:t>
      </w:r>
      <w:r w:rsidRPr="005130BF">
        <w:rPr>
          <w:rFonts w:cstheme="minorHAnsi"/>
        </w:rPr>
        <w:t>, dok je početno stanje 01.01.202</w:t>
      </w:r>
      <w:r w:rsidR="00C96F56">
        <w:rPr>
          <w:rFonts w:cstheme="minorHAnsi"/>
        </w:rPr>
        <w:t>5</w:t>
      </w:r>
      <w:r w:rsidR="00925B5D">
        <w:rPr>
          <w:rFonts w:cstheme="minorHAnsi"/>
        </w:rPr>
        <w:t xml:space="preserve"> </w:t>
      </w:r>
      <w:r w:rsidRPr="005130BF">
        <w:rPr>
          <w:rFonts w:cstheme="minorHAnsi"/>
        </w:rPr>
        <w:t>. iznosilo</w:t>
      </w:r>
      <w:r w:rsidR="00C96F56">
        <w:rPr>
          <w:rFonts w:cstheme="minorHAnsi"/>
        </w:rPr>
        <w:t xml:space="preserve"> 360,00 </w:t>
      </w:r>
      <w:r w:rsidR="00B73F68">
        <w:rPr>
          <w:rFonts w:cstheme="minorHAnsi"/>
        </w:rPr>
        <w:t>EUR.</w:t>
      </w:r>
      <w:r w:rsidRPr="005130BF">
        <w:rPr>
          <w:rFonts w:cstheme="minorHAnsi"/>
        </w:rPr>
        <w:t xml:space="preserve"> </w:t>
      </w:r>
    </w:p>
    <w:p w14:paraId="27C27B94" w14:textId="77777777" w:rsidR="003C6DBD" w:rsidRDefault="003C6DBD" w:rsidP="00DD5727">
      <w:pPr>
        <w:spacing w:line="276" w:lineRule="auto"/>
        <w:jc w:val="both"/>
        <w:rPr>
          <w:rFonts w:cstheme="minorHAnsi"/>
          <w:b/>
          <w:bCs/>
        </w:rPr>
      </w:pPr>
    </w:p>
    <w:p w14:paraId="232E180F" w14:textId="77777777" w:rsidR="00FD3815" w:rsidRDefault="00FD3815" w:rsidP="00DD5727">
      <w:pPr>
        <w:spacing w:line="276" w:lineRule="auto"/>
        <w:jc w:val="both"/>
        <w:rPr>
          <w:rFonts w:cstheme="minorHAnsi"/>
          <w:b/>
          <w:bCs/>
        </w:rPr>
      </w:pPr>
    </w:p>
    <w:p w14:paraId="397854FB" w14:textId="77777777" w:rsidR="00FD3815" w:rsidRDefault="00FD3815" w:rsidP="00DD5727">
      <w:pPr>
        <w:spacing w:line="276" w:lineRule="auto"/>
        <w:jc w:val="both"/>
        <w:rPr>
          <w:rFonts w:cstheme="minorHAnsi"/>
          <w:b/>
          <w:bCs/>
        </w:rPr>
      </w:pPr>
    </w:p>
    <w:p w14:paraId="1C1200C7" w14:textId="77777777" w:rsidR="00FD3815" w:rsidRDefault="00FD3815" w:rsidP="00DD5727">
      <w:pPr>
        <w:spacing w:line="276" w:lineRule="auto"/>
        <w:jc w:val="both"/>
        <w:rPr>
          <w:rFonts w:cstheme="minorHAnsi"/>
          <w:b/>
          <w:bCs/>
        </w:rPr>
      </w:pPr>
    </w:p>
    <w:p w14:paraId="44122F05" w14:textId="44F62EB3" w:rsidR="00FD3815" w:rsidRPr="005C587F" w:rsidRDefault="00FD3815" w:rsidP="00FD3815">
      <w:pPr>
        <w:rPr>
          <w:b/>
          <w:bCs/>
        </w:rPr>
      </w:pPr>
      <w:r>
        <w:rPr>
          <w:b/>
          <w:bCs/>
        </w:rPr>
        <w:lastRenderedPageBreak/>
        <w:t xml:space="preserve">IV. </w:t>
      </w:r>
      <w:r w:rsidRPr="005C587F">
        <w:rPr>
          <w:b/>
          <w:bCs/>
        </w:rPr>
        <w:t>POSEBNI IZVJEŠTAJI O IZVRŠENJU FINANCIJSKOG PLANA ZA RAZDOBLJE OD I-</w:t>
      </w:r>
      <w:r>
        <w:rPr>
          <w:b/>
          <w:bCs/>
        </w:rPr>
        <w:t>V</w:t>
      </w:r>
      <w:r w:rsidRPr="005C587F">
        <w:rPr>
          <w:b/>
          <w:bCs/>
        </w:rPr>
        <w:t>I. 202</w:t>
      </w:r>
      <w:r>
        <w:rPr>
          <w:b/>
          <w:bCs/>
        </w:rPr>
        <w:t>5</w:t>
      </w:r>
      <w:r w:rsidRPr="005C587F">
        <w:rPr>
          <w:b/>
          <w:bCs/>
        </w:rPr>
        <w:t>.</w:t>
      </w:r>
    </w:p>
    <w:p w14:paraId="08A2B44D" w14:textId="77777777" w:rsidR="00FD3815" w:rsidRDefault="00FD3815" w:rsidP="00FD3815"/>
    <w:p w14:paraId="64EBAD83" w14:textId="77777777" w:rsidR="00FD3815" w:rsidRPr="005C587F" w:rsidRDefault="00FD3815" w:rsidP="00FD3815">
      <w:pPr>
        <w:pStyle w:val="Odlomakpopisa"/>
        <w:numPr>
          <w:ilvl w:val="0"/>
          <w:numId w:val="5"/>
        </w:numPr>
        <w:rPr>
          <w:b/>
          <w:bCs/>
        </w:rPr>
      </w:pPr>
      <w:r w:rsidRPr="005C587F">
        <w:rPr>
          <w:b/>
          <w:bCs/>
        </w:rPr>
        <w:t>IZVJEŠTAJ O ZADUŽIVANJU NA DOMAĆEM I STRANOM  TRŽIŠTU NOVCA I KAPITALA</w:t>
      </w:r>
    </w:p>
    <w:p w14:paraId="406C55A1" w14:textId="387AB4AD" w:rsidR="00FD3815" w:rsidRDefault="00FD3815" w:rsidP="00FD3815">
      <w:pPr>
        <w:jc w:val="both"/>
      </w:pPr>
      <w:r>
        <w:t>U izvještajnom razdoblju od I-</w:t>
      </w:r>
      <w:r>
        <w:t>V</w:t>
      </w:r>
      <w:r>
        <w:t>I. 202</w:t>
      </w:r>
      <w:r>
        <w:t>5</w:t>
      </w:r>
      <w:r>
        <w:t>., kao niti prethodnih godina,  POU Samobor nije se zaduživao na domaćem i stranom tržištu novca i kapitala</w:t>
      </w:r>
    </w:p>
    <w:p w14:paraId="74E7F317" w14:textId="77777777" w:rsidR="00FD3815" w:rsidRDefault="00FD3815" w:rsidP="00FD3815">
      <w:pPr>
        <w:jc w:val="both"/>
      </w:pPr>
    </w:p>
    <w:p w14:paraId="3402D1ED" w14:textId="77777777" w:rsidR="00FD3815" w:rsidRDefault="00FD3815" w:rsidP="00FD3815">
      <w:pPr>
        <w:jc w:val="both"/>
      </w:pPr>
    </w:p>
    <w:p w14:paraId="642B145D" w14:textId="77777777" w:rsidR="00FD3815" w:rsidRDefault="00FD3815" w:rsidP="00FD3815">
      <w:pPr>
        <w:jc w:val="right"/>
      </w:pPr>
      <w:r>
        <w:t>POU SAMOBOR</w:t>
      </w:r>
    </w:p>
    <w:p w14:paraId="63B91022" w14:textId="77777777" w:rsidR="00FD3815" w:rsidRDefault="00FD3815" w:rsidP="00FD3815">
      <w:pPr>
        <w:jc w:val="right"/>
      </w:pPr>
      <w:r>
        <w:t>UPRAVNO VIJEĆE</w:t>
      </w:r>
    </w:p>
    <w:p w14:paraId="4DACD080" w14:textId="77777777" w:rsidR="00FD3815" w:rsidRDefault="00FD3815" w:rsidP="00FD3815">
      <w:pPr>
        <w:jc w:val="right"/>
      </w:pPr>
      <w:r>
        <w:t>PREDSJEDNICA</w:t>
      </w:r>
    </w:p>
    <w:p w14:paraId="79C7AAC5" w14:textId="77777777" w:rsidR="00FD3815" w:rsidRDefault="00FD3815" w:rsidP="00FD3815">
      <w:pPr>
        <w:jc w:val="right"/>
      </w:pPr>
      <w:r>
        <w:t>Tihana Matijaščić</w:t>
      </w:r>
    </w:p>
    <w:p w14:paraId="7FE63AF5" w14:textId="77777777" w:rsidR="00FD3815" w:rsidRDefault="00FD3815" w:rsidP="00FD3815">
      <w:pPr>
        <w:jc w:val="both"/>
      </w:pPr>
    </w:p>
    <w:p w14:paraId="1D238C40" w14:textId="77777777" w:rsidR="00FD3815" w:rsidRPr="00DD5727" w:rsidRDefault="00FD3815" w:rsidP="00DD5727">
      <w:pPr>
        <w:spacing w:line="276" w:lineRule="auto"/>
        <w:jc w:val="both"/>
        <w:rPr>
          <w:rFonts w:cstheme="minorHAnsi"/>
          <w:b/>
          <w:bCs/>
        </w:rPr>
      </w:pPr>
    </w:p>
    <w:p w14:paraId="7BD663A5" w14:textId="77777777" w:rsidR="00B6054B" w:rsidRPr="00B6054B" w:rsidRDefault="00B6054B" w:rsidP="00B6054B">
      <w:pPr>
        <w:spacing w:line="276" w:lineRule="auto"/>
        <w:jc w:val="both"/>
        <w:rPr>
          <w:rFonts w:cstheme="minorHAnsi"/>
          <w:b/>
          <w:bCs/>
        </w:rPr>
      </w:pPr>
    </w:p>
    <w:sectPr w:rsidR="00B6054B" w:rsidRPr="00B6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69F2"/>
    <w:multiLevelType w:val="hybridMultilevel"/>
    <w:tmpl w:val="85E87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3834"/>
    <w:multiLevelType w:val="hybridMultilevel"/>
    <w:tmpl w:val="0FB4F230"/>
    <w:lvl w:ilvl="0" w:tplc="C23AC2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F005E"/>
    <w:multiLevelType w:val="multilevel"/>
    <w:tmpl w:val="6276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4E63AA"/>
    <w:multiLevelType w:val="multilevel"/>
    <w:tmpl w:val="6276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B266FD"/>
    <w:multiLevelType w:val="hybridMultilevel"/>
    <w:tmpl w:val="7BB42FD8"/>
    <w:lvl w:ilvl="0" w:tplc="C80C13C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19033298">
    <w:abstractNumId w:val="2"/>
  </w:num>
  <w:num w:numId="2" w16cid:durableId="474496221">
    <w:abstractNumId w:val="4"/>
  </w:num>
  <w:num w:numId="3" w16cid:durableId="1283417807">
    <w:abstractNumId w:val="1"/>
  </w:num>
  <w:num w:numId="4" w16cid:durableId="767966645">
    <w:abstractNumId w:val="3"/>
  </w:num>
  <w:num w:numId="5" w16cid:durableId="151087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FD"/>
    <w:rsid w:val="0001352C"/>
    <w:rsid w:val="00027AD0"/>
    <w:rsid w:val="00043A9C"/>
    <w:rsid w:val="00046746"/>
    <w:rsid w:val="000521C8"/>
    <w:rsid w:val="00060019"/>
    <w:rsid w:val="00076A01"/>
    <w:rsid w:val="0008321F"/>
    <w:rsid w:val="00091AB2"/>
    <w:rsid w:val="000925C1"/>
    <w:rsid w:val="00094104"/>
    <w:rsid w:val="000A0427"/>
    <w:rsid w:val="000A180E"/>
    <w:rsid w:val="000A30DF"/>
    <w:rsid w:val="000A7F09"/>
    <w:rsid w:val="000B10B5"/>
    <w:rsid w:val="000B6982"/>
    <w:rsid w:val="000D4DAA"/>
    <w:rsid w:val="000D5769"/>
    <w:rsid w:val="000D7F13"/>
    <w:rsid w:val="000E5511"/>
    <w:rsid w:val="000F02E9"/>
    <w:rsid w:val="00111541"/>
    <w:rsid w:val="0012437A"/>
    <w:rsid w:val="0012578F"/>
    <w:rsid w:val="0013030A"/>
    <w:rsid w:val="00141959"/>
    <w:rsid w:val="001464DD"/>
    <w:rsid w:val="001474B0"/>
    <w:rsid w:val="00170374"/>
    <w:rsid w:val="00171B5F"/>
    <w:rsid w:val="00173F37"/>
    <w:rsid w:val="001833CC"/>
    <w:rsid w:val="00186B63"/>
    <w:rsid w:val="001C0C15"/>
    <w:rsid w:val="001E39CD"/>
    <w:rsid w:val="001E423C"/>
    <w:rsid w:val="001F7266"/>
    <w:rsid w:val="00214894"/>
    <w:rsid w:val="00222353"/>
    <w:rsid w:val="00225C77"/>
    <w:rsid w:val="00234419"/>
    <w:rsid w:val="00234996"/>
    <w:rsid w:val="0023768C"/>
    <w:rsid w:val="00245E3F"/>
    <w:rsid w:val="00247FA8"/>
    <w:rsid w:val="00253B21"/>
    <w:rsid w:val="00257C31"/>
    <w:rsid w:val="00260326"/>
    <w:rsid w:val="00273CCE"/>
    <w:rsid w:val="00282788"/>
    <w:rsid w:val="00284316"/>
    <w:rsid w:val="002917C7"/>
    <w:rsid w:val="002B04CC"/>
    <w:rsid w:val="002B6CF7"/>
    <w:rsid w:val="002C36F3"/>
    <w:rsid w:val="002C4FE9"/>
    <w:rsid w:val="002C5371"/>
    <w:rsid w:val="002D074D"/>
    <w:rsid w:val="002D5943"/>
    <w:rsid w:val="002E10EA"/>
    <w:rsid w:val="002E397C"/>
    <w:rsid w:val="00313F65"/>
    <w:rsid w:val="003207B9"/>
    <w:rsid w:val="00324232"/>
    <w:rsid w:val="00324386"/>
    <w:rsid w:val="003377F9"/>
    <w:rsid w:val="00337D1D"/>
    <w:rsid w:val="00343394"/>
    <w:rsid w:val="00354FE2"/>
    <w:rsid w:val="003A3479"/>
    <w:rsid w:val="003B46E9"/>
    <w:rsid w:val="003C6B32"/>
    <w:rsid w:val="003C6DBD"/>
    <w:rsid w:val="003D2DF5"/>
    <w:rsid w:val="003D3A21"/>
    <w:rsid w:val="003D6A70"/>
    <w:rsid w:val="003E49D5"/>
    <w:rsid w:val="00407E81"/>
    <w:rsid w:val="0042124C"/>
    <w:rsid w:val="00424B69"/>
    <w:rsid w:val="004315EB"/>
    <w:rsid w:val="00435027"/>
    <w:rsid w:val="00443443"/>
    <w:rsid w:val="004541BE"/>
    <w:rsid w:val="0046075E"/>
    <w:rsid w:val="0046188D"/>
    <w:rsid w:val="00466550"/>
    <w:rsid w:val="00467A6B"/>
    <w:rsid w:val="00475495"/>
    <w:rsid w:val="00484007"/>
    <w:rsid w:val="00487885"/>
    <w:rsid w:val="004912BA"/>
    <w:rsid w:val="004B21B9"/>
    <w:rsid w:val="004D3F5B"/>
    <w:rsid w:val="004D678E"/>
    <w:rsid w:val="004E49AE"/>
    <w:rsid w:val="004F1172"/>
    <w:rsid w:val="004F2325"/>
    <w:rsid w:val="004F6930"/>
    <w:rsid w:val="0050051A"/>
    <w:rsid w:val="00517049"/>
    <w:rsid w:val="00522E5A"/>
    <w:rsid w:val="005235B3"/>
    <w:rsid w:val="00527911"/>
    <w:rsid w:val="00533C3D"/>
    <w:rsid w:val="00540F2A"/>
    <w:rsid w:val="005413FF"/>
    <w:rsid w:val="005432CE"/>
    <w:rsid w:val="005444F5"/>
    <w:rsid w:val="005564B8"/>
    <w:rsid w:val="00584880"/>
    <w:rsid w:val="0058528C"/>
    <w:rsid w:val="005A3D7F"/>
    <w:rsid w:val="005A6D1C"/>
    <w:rsid w:val="005B4909"/>
    <w:rsid w:val="005C054A"/>
    <w:rsid w:val="005E6E99"/>
    <w:rsid w:val="005F7320"/>
    <w:rsid w:val="00607DC5"/>
    <w:rsid w:val="00611A03"/>
    <w:rsid w:val="00620FCF"/>
    <w:rsid w:val="00625E74"/>
    <w:rsid w:val="006363B2"/>
    <w:rsid w:val="0064213F"/>
    <w:rsid w:val="006509A6"/>
    <w:rsid w:val="006538FE"/>
    <w:rsid w:val="00660552"/>
    <w:rsid w:val="00662305"/>
    <w:rsid w:val="00684CD8"/>
    <w:rsid w:val="00694E30"/>
    <w:rsid w:val="006B30AD"/>
    <w:rsid w:val="006C4F5F"/>
    <w:rsid w:val="006C6343"/>
    <w:rsid w:val="006D4A1D"/>
    <w:rsid w:val="006F53AF"/>
    <w:rsid w:val="0071535C"/>
    <w:rsid w:val="007200E4"/>
    <w:rsid w:val="00746414"/>
    <w:rsid w:val="00764D18"/>
    <w:rsid w:val="007744C2"/>
    <w:rsid w:val="00784CF4"/>
    <w:rsid w:val="00784FF9"/>
    <w:rsid w:val="007A2671"/>
    <w:rsid w:val="007B57FE"/>
    <w:rsid w:val="007D5AE1"/>
    <w:rsid w:val="007E07FF"/>
    <w:rsid w:val="007E5207"/>
    <w:rsid w:val="007E5D41"/>
    <w:rsid w:val="008044AD"/>
    <w:rsid w:val="00810362"/>
    <w:rsid w:val="00817C54"/>
    <w:rsid w:val="00822E09"/>
    <w:rsid w:val="00826415"/>
    <w:rsid w:val="00841F7C"/>
    <w:rsid w:val="0084629F"/>
    <w:rsid w:val="0084738E"/>
    <w:rsid w:val="008555EF"/>
    <w:rsid w:val="00857B8E"/>
    <w:rsid w:val="00877416"/>
    <w:rsid w:val="00891F19"/>
    <w:rsid w:val="008A329D"/>
    <w:rsid w:val="008B1FE0"/>
    <w:rsid w:val="008B5173"/>
    <w:rsid w:val="008B7F4B"/>
    <w:rsid w:val="008F0BFA"/>
    <w:rsid w:val="008F6A64"/>
    <w:rsid w:val="00903B8C"/>
    <w:rsid w:val="00913D0D"/>
    <w:rsid w:val="00915CEB"/>
    <w:rsid w:val="00915E13"/>
    <w:rsid w:val="00925B5D"/>
    <w:rsid w:val="00934640"/>
    <w:rsid w:val="00946046"/>
    <w:rsid w:val="00967F06"/>
    <w:rsid w:val="009736A3"/>
    <w:rsid w:val="009752B0"/>
    <w:rsid w:val="00981592"/>
    <w:rsid w:val="0098445B"/>
    <w:rsid w:val="00986893"/>
    <w:rsid w:val="00992A1D"/>
    <w:rsid w:val="00997F89"/>
    <w:rsid w:val="009A3F7A"/>
    <w:rsid w:val="009A7BE3"/>
    <w:rsid w:val="009B097F"/>
    <w:rsid w:val="009B7E63"/>
    <w:rsid w:val="009C7712"/>
    <w:rsid w:val="009D1A28"/>
    <w:rsid w:val="009E34ED"/>
    <w:rsid w:val="009F70C4"/>
    <w:rsid w:val="00A03B66"/>
    <w:rsid w:val="00A223E5"/>
    <w:rsid w:val="00A2426D"/>
    <w:rsid w:val="00A32B4F"/>
    <w:rsid w:val="00A53CE2"/>
    <w:rsid w:val="00A56DC6"/>
    <w:rsid w:val="00A6111C"/>
    <w:rsid w:val="00A77075"/>
    <w:rsid w:val="00A8046F"/>
    <w:rsid w:val="00AA6304"/>
    <w:rsid w:val="00AB1046"/>
    <w:rsid w:val="00AB6340"/>
    <w:rsid w:val="00B013BB"/>
    <w:rsid w:val="00B11D1F"/>
    <w:rsid w:val="00B24E77"/>
    <w:rsid w:val="00B40E43"/>
    <w:rsid w:val="00B43C81"/>
    <w:rsid w:val="00B6054B"/>
    <w:rsid w:val="00B649F0"/>
    <w:rsid w:val="00B73F68"/>
    <w:rsid w:val="00B82385"/>
    <w:rsid w:val="00B82B33"/>
    <w:rsid w:val="00B83623"/>
    <w:rsid w:val="00BA4AF8"/>
    <w:rsid w:val="00BA67BC"/>
    <w:rsid w:val="00BD1B99"/>
    <w:rsid w:val="00BE0325"/>
    <w:rsid w:val="00BE3F55"/>
    <w:rsid w:val="00BE5CFF"/>
    <w:rsid w:val="00BF4451"/>
    <w:rsid w:val="00C026A7"/>
    <w:rsid w:val="00C05D9C"/>
    <w:rsid w:val="00C15755"/>
    <w:rsid w:val="00C15B25"/>
    <w:rsid w:val="00C2245C"/>
    <w:rsid w:val="00C22AE9"/>
    <w:rsid w:val="00C40897"/>
    <w:rsid w:val="00C40EDF"/>
    <w:rsid w:val="00C57506"/>
    <w:rsid w:val="00C66D6C"/>
    <w:rsid w:val="00C71415"/>
    <w:rsid w:val="00C82ECF"/>
    <w:rsid w:val="00C84715"/>
    <w:rsid w:val="00C91993"/>
    <w:rsid w:val="00C96F56"/>
    <w:rsid w:val="00C97DF0"/>
    <w:rsid w:val="00CA601A"/>
    <w:rsid w:val="00CC3A9B"/>
    <w:rsid w:val="00CD6FA1"/>
    <w:rsid w:val="00CE41E4"/>
    <w:rsid w:val="00CF00D6"/>
    <w:rsid w:val="00CF63D4"/>
    <w:rsid w:val="00CF716D"/>
    <w:rsid w:val="00D00840"/>
    <w:rsid w:val="00D10202"/>
    <w:rsid w:val="00D21E51"/>
    <w:rsid w:val="00D234DB"/>
    <w:rsid w:val="00D30641"/>
    <w:rsid w:val="00D404EC"/>
    <w:rsid w:val="00D507DB"/>
    <w:rsid w:val="00D52882"/>
    <w:rsid w:val="00D71BFC"/>
    <w:rsid w:val="00D922DC"/>
    <w:rsid w:val="00D926F7"/>
    <w:rsid w:val="00D9654B"/>
    <w:rsid w:val="00DA2592"/>
    <w:rsid w:val="00DA40BE"/>
    <w:rsid w:val="00DA7281"/>
    <w:rsid w:val="00DB1D91"/>
    <w:rsid w:val="00DC28FD"/>
    <w:rsid w:val="00DC4AAE"/>
    <w:rsid w:val="00DD5727"/>
    <w:rsid w:val="00DD5C60"/>
    <w:rsid w:val="00DE67E6"/>
    <w:rsid w:val="00DF29B8"/>
    <w:rsid w:val="00DF2E94"/>
    <w:rsid w:val="00E02455"/>
    <w:rsid w:val="00E24899"/>
    <w:rsid w:val="00E339F4"/>
    <w:rsid w:val="00E364EB"/>
    <w:rsid w:val="00EA3613"/>
    <w:rsid w:val="00EB4E45"/>
    <w:rsid w:val="00ED0662"/>
    <w:rsid w:val="00EE743B"/>
    <w:rsid w:val="00F00A2A"/>
    <w:rsid w:val="00F136D1"/>
    <w:rsid w:val="00F24002"/>
    <w:rsid w:val="00F3619C"/>
    <w:rsid w:val="00F37E51"/>
    <w:rsid w:val="00F57EE5"/>
    <w:rsid w:val="00F67E26"/>
    <w:rsid w:val="00F7066D"/>
    <w:rsid w:val="00F740A4"/>
    <w:rsid w:val="00F767C9"/>
    <w:rsid w:val="00F855F0"/>
    <w:rsid w:val="00F92BD0"/>
    <w:rsid w:val="00F97393"/>
    <w:rsid w:val="00FB06C8"/>
    <w:rsid w:val="00FB1663"/>
    <w:rsid w:val="00FC21FD"/>
    <w:rsid w:val="00FC67C9"/>
    <w:rsid w:val="00FD0849"/>
    <w:rsid w:val="00FD19AC"/>
    <w:rsid w:val="00FD3815"/>
    <w:rsid w:val="00FD5553"/>
    <w:rsid w:val="00FD5939"/>
    <w:rsid w:val="00FE5BA3"/>
    <w:rsid w:val="00FF1C9D"/>
    <w:rsid w:val="00FF2CA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1FAF"/>
  <w15:chartTrackingRefBased/>
  <w15:docId w15:val="{B0280ECF-8812-4AF5-85AB-A4B7518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FC21F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917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17C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17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17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17C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3479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926F7"/>
  </w:style>
  <w:style w:type="table" w:styleId="Reetkatablice">
    <w:name w:val="Table Grid"/>
    <w:basedOn w:val="Obinatablica"/>
    <w:uiPriority w:val="39"/>
    <w:rsid w:val="00FE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-JOSIPAA">
    <w:name w:val="TEKST-JOSIPAA"/>
    <w:basedOn w:val="Normal"/>
    <w:qFormat/>
    <w:rsid w:val="000521C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B1C5D1DF83D438023DCD1E521A4BB" ma:contentTypeVersion="18" ma:contentTypeDescription="Create a new document." ma:contentTypeScope="" ma:versionID="c00071165b8537be1b56ee2f38cbe7d7">
  <xsd:schema xmlns:xsd="http://www.w3.org/2001/XMLSchema" xmlns:xs="http://www.w3.org/2001/XMLSchema" xmlns:p="http://schemas.microsoft.com/office/2006/metadata/properties" xmlns:ns2="14f0dee1-b903-497b-840a-032b19d99808" xmlns:ns3="6c5e3db4-8f85-4174-8a61-ec0ec55cd4a7" targetNamespace="http://schemas.microsoft.com/office/2006/metadata/properties" ma:root="true" ma:fieldsID="6840e572eb358cffbd192f235d24db3d" ns2:_="" ns3:_="">
    <xsd:import namespace="14f0dee1-b903-497b-840a-032b19d99808"/>
    <xsd:import namespace="6c5e3db4-8f85-4174-8a61-ec0ec55cd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dee1-b903-497b-840a-032b19d9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377d66-c8ee-4eec-90b7-a636d6096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3db4-8f85-4174-8a61-ec0ec55cd4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8d8ad7-f05e-4420-9f7e-3c45b54905e8}" ma:internalName="TaxCatchAll" ma:showField="CatchAllData" ma:web="6c5e3db4-8f85-4174-8a61-ec0ec55cd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3db4-8f85-4174-8a61-ec0ec55cd4a7" xsi:nil="true"/>
    <lcf76f155ced4ddcb4097134ff3c332f xmlns="14f0dee1-b903-497b-840a-032b19d998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7EEC1-711A-49D5-B69D-A95768D0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0dee1-b903-497b-840a-032b19d99808"/>
    <ds:schemaRef ds:uri="6c5e3db4-8f85-4174-8a61-ec0ec55cd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92ED3-A1F0-4DD5-9A44-B1FF8BF4E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0960F-AA40-4A72-A5C1-075AF9068093}">
  <ds:schemaRefs>
    <ds:schemaRef ds:uri="http://schemas.microsoft.com/office/2006/metadata/properties"/>
    <ds:schemaRef ds:uri="http://schemas.microsoft.com/office/infopath/2007/PartnerControls"/>
    <ds:schemaRef ds:uri="6c5e3db4-8f85-4174-8a61-ec0ec55cd4a7"/>
    <ds:schemaRef ds:uri="14f0dee1-b903-497b-840a-032b19d998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2454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Kudric</dc:creator>
  <cp:keywords/>
  <dc:description/>
  <cp:lastModifiedBy>Jelena Vojvoda</cp:lastModifiedBy>
  <cp:revision>197</cp:revision>
  <cp:lastPrinted>2025-07-29T10:27:00Z</cp:lastPrinted>
  <dcterms:created xsi:type="dcterms:W3CDTF">2024-07-22T12:51:00Z</dcterms:created>
  <dcterms:modified xsi:type="dcterms:W3CDTF">2025-07-29T10:27:00Z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0x01010054EB1C5D1DF83D438023DCD1E521A4BB</vt:lpwstr>
  </property>
  <property fmtid="{D5CDD505-2E9C-101B-9397-08002B2CF9AE}" pid="3" name="MediaServiceImageTags">
    <vt:lpwstr/>
  </property>
</Properties>
</file>