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DB7A8B" w14:paraId="56B438F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890433A" w14:textId="77777777" w:rsidR="00DB7A8B" w:rsidRDefault="006F2152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16FBD0C" w14:textId="77777777" w:rsidR="00DB7A8B" w:rsidRDefault="006F2152">
            <w:pPr>
              <w:spacing w:after="0" w:line="240" w:lineRule="auto"/>
            </w:pPr>
            <w:r>
              <w:t>26311</w:t>
            </w:r>
          </w:p>
        </w:tc>
      </w:tr>
      <w:tr w:rsidR="00DB7A8B" w14:paraId="3D12936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AF96F9C" w14:textId="77777777" w:rsidR="00DB7A8B" w:rsidRDefault="006F215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E3B8964" w14:textId="77777777" w:rsidR="00DB7A8B" w:rsidRDefault="006F2152">
            <w:pPr>
              <w:spacing w:after="0" w:line="240" w:lineRule="auto"/>
            </w:pPr>
            <w:r>
              <w:t>PUČKO OTVORENO UČILIŠTE  SAMOBOR</w:t>
            </w:r>
          </w:p>
        </w:tc>
      </w:tr>
      <w:tr w:rsidR="00DB7A8B" w14:paraId="2234465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CAC9FBF" w14:textId="77777777" w:rsidR="00DB7A8B" w:rsidRDefault="006F215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5791C01" w14:textId="77777777" w:rsidR="00DB7A8B" w:rsidRDefault="006F2152">
            <w:pPr>
              <w:spacing w:after="0" w:line="240" w:lineRule="auto"/>
            </w:pPr>
            <w:r>
              <w:t>21</w:t>
            </w:r>
          </w:p>
        </w:tc>
      </w:tr>
    </w:tbl>
    <w:p w14:paraId="4A7BCB6D" w14:textId="77777777" w:rsidR="00DB7A8B" w:rsidRDefault="006F2152">
      <w:r>
        <w:br/>
      </w:r>
    </w:p>
    <w:p w14:paraId="0A38018C" w14:textId="77777777" w:rsidR="00DB7A8B" w:rsidRDefault="006F215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1A00F62" w14:textId="77777777" w:rsidR="00DB7A8B" w:rsidRDefault="006F2152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47AECEF" w14:textId="77777777" w:rsidR="00DB7A8B" w:rsidRDefault="006F2152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4AE0477E" w14:textId="77777777" w:rsidR="00DB7A8B" w:rsidRDefault="00DB7A8B"/>
    <w:p w14:paraId="19238F3B" w14:textId="77777777" w:rsidR="00DB7A8B" w:rsidRDefault="006F215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43A97D7" w14:textId="77777777" w:rsidR="00DB7A8B" w:rsidRDefault="006F215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7A8B" w14:paraId="78471F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FB892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B88BFC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F1F4F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C0EE98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E0F57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EF5972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7A8B" w14:paraId="4152E6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A02202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458404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E64665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2792B2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632.681,03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336FD5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871.886,35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562EEB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137,8</w:t>
            </w:r>
          </w:p>
        </w:tc>
      </w:tr>
      <w:tr w:rsidR="00DB7A8B" w14:paraId="391FFC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6E3DCA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454201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01EF1C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3F01B4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502.401,22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312BE3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762.526,05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6D609C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151,8</w:t>
            </w:r>
          </w:p>
        </w:tc>
      </w:tr>
      <w:tr w:rsidR="00DB7A8B" w14:paraId="3BB6E2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2818FF" w14:textId="77777777" w:rsidR="00DB7A8B" w:rsidRDefault="00DB7A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53B777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B23F59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35218E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130.279,81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5537D3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109.360,30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4B8195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83,9</w:t>
            </w:r>
          </w:p>
        </w:tc>
      </w:tr>
      <w:tr w:rsidR="00DB7A8B" w14:paraId="75A7FC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10E41E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0C3D13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8FC437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67424F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677963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A896A5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B7A8B" w14:paraId="473092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9FDB48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AC2D4D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</w:t>
            </w:r>
            <w:r>
              <w:rPr>
                <w:sz w:val="18"/>
              </w:rPr>
              <w:t>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52BC23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086A65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9.233,21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E6A32B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59.727,76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0E99D7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646,9</w:t>
            </w:r>
          </w:p>
        </w:tc>
      </w:tr>
      <w:tr w:rsidR="00DB7A8B" w14:paraId="028C1E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680748" w14:textId="77777777" w:rsidR="00DB7A8B" w:rsidRDefault="00DB7A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EC2110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BD165E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0FC66D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9.233,21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3C18DD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59.727,76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92CB40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646,9</w:t>
            </w:r>
          </w:p>
        </w:tc>
      </w:tr>
      <w:tr w:rsidR="00DB7A8B" w14:paraId="1845C1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7A326B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ED15A0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639B68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4D970F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A8EFB7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13472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B7A8B" w14:paraId="510780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25948C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C09D7F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</w:t>
            </w:r>
            <w:r>
              <w:rPr>
                <w:sz w:val="18"/>
              </w:rPr>
              <w:t>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66D46D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F0116C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D91C14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16D573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B7A8B" w14:paraId="7F6BDA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E26B9D" w14:textId="77777777" w:rsidR="00DB7A8B" w:rsidRDefault="00DB7A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472C2B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764810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B74A81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B215A6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F55288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B7A8B" w14:paraId="0C2E99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BCDC7F" w14:textId="77777777" w:rsidR="00DB7A8B" w:rsidRDefault="00DB7A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63E427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349B36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3347CD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121.046,60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564D81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49.632,54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E81306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41,0</w:t>
            </w:r>
          </w:p>
        </w:tc>
      </w:tr>
    </w:tbl>
    <w:p w14:paraId="72CD7360" w14:textId="77777777" w:rsidR="00DB7A8B" w:rsidRDefault="00DB7A8B">
      <w:pPr>
        <w:spacing w:after="0"/>
      </w:pPr>
    </w:p>
    <w:p w14:paraId="4ED02A27" w14:textId="77777777" w:rsidR="00DB7A8B" w:rsidRDefault="006F2152">
      <w:pPr>
        <w:spacing w:line="240" w:lineRule="auto"/>
        <w:jc w:val="both"/>
      </w:pPr>
      <w:r>
        <w:t>Ostvaren je višak prihoda poslovanja u iznosu od 109.360,30 , što je rezultat više uplaćenih prihoda od pomoći, vlastitih prihoda i donacija, te manjak prihoda za nabavu nefinancijske imovine od 59.727,76. Rezultat na kraju razdoblja je višak prihoda od 49.632,54.</w:t>
      </w:r>
    </w:p>
    <w:p w14:paraId="22EDF2CF" w14:textId="77777777" w:rsidR="00DB7A8B" w:rsidRDefault="006F2152">
      <w:r>
        <w:br/>
      </w:r>
    </w:p>
    <w:p w14:paraId="1D88C478" w14:textId="77777777" w:rsidR="00DB7A8B" w:rsidRDefault="006F2152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7A8B" w14:paraId="3BC2DD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E5FE32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558C64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F7DC6E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D0246E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1259D8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0D6AB1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7A8B" w14:paraId="159B94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A9B96A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3AF877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5AC8B7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D30C5D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28.011,74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8E3D9A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52.117,12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DE1369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186,1</w:t>
            </w:r>
          </w:p>
        </w:tc>
      </w:tr>
    </w:tbl>
    <w:p w14:paraId="0C9D389D" w14:textId="77777777" w:rsidR="00DB7A8B" w:rsidRDefault="00DB7A8B">
      <w:pPr>
        <w:spacing w:after="0"/>
      </w:pPr>
    </w:p>
    <w:p w14:paraId="06919C68" w14:textId="77777777" w:rsidR="00DB7A8B" w:rsidRDefault="006F2152">
      <w:pPr>
        <w:spacing w:line="240" w:lineRule="auto"/>
        <w:jc w:val="both"/>
      </w:pPr>
      <w:r>
        <w:t>Pomoći od izvanproračunskih korisnika odnose se na primljene vaučere od HZZO-a</w:t>
      </w:r>
    </w:p>
    <w:p w14:paraId="1B29EC31" w14:textId="77777777" w:rsidR="00DB7A8B" w:rsidRDefault="00DB7A8B"/>
    <w:p w14:paraId="3256E64C" w14:textId="77777777" w:rsidR="00DB7A8B" w:rsidRDefault="006F2152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7A8B" w14:paraId="286715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CDCAEC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EEAD5B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7D4BF0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D6DB6E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CC900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A7EE20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7A8B" w14:paraId="066970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ACA061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91772B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955C80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0A76F6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76.679,95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829ABF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93.306,00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779A5C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121,7</w:t>
            </w:r>
          </w:p>
        </w:tc>
      </w:tr>
    </w:tbl>
    <w:p w14:paraId="1609BCA5" w14:textId="77777777" w:rsidR="00DB7A8B" w:rsidRDefault="00DB7A8B">
      <w:pPr>
        <w:spacing w:after="0"/>
      </w:pPr>
    </w:p>
    <w:p w14:paraId="0E96B347" w14:textId="77777777" w:rsidR="00DB7A8B" w:rsidRDefault="006F2152">
      <w:pPr>
        <w:spacing w:line="240" w:lineRule="auto"/>
        <w:jc w:val="both"/>
      </w:pPr>
      <w:r>
        <w:t xml:space="preserve">pomoći proračunskim korisnicima iz proračuna koji im nije nadležan odnose se  na uplate iz DP za organizacije raznih </w:t>
      </w:r>
      <w:r>
        <w:t xml:space="preserve">projekata kao što su Samoborske glazbene jeseni, Festival </w:t>
      </w:r>
      <w:proofErr w:type="spellStart"/>
      <w:r>
        <w:t>Vrazova</w:t>
      </w:r>
      <w:proofErr w:type="spellEnd"/>
      <w:r>
        <w:t xml:space="preserve"> ljubica, Pax, Kino Samobor, centar za mlade.</w:t>
      </w:r>
    </w:p>
    <w:p w14:paraId="46685A26" w14:textId="77777777" w:rsidR="00DB7A8B" w:rsidRDefault="00DB7A8B"/>
    <w:p w14:paraId="2C5735DA" w14:textId="77777777" w:rsidR="00DB7A8B" w:rsidRDefault="006F2152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7A8B" w14:paraId="2A3FE6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9C211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56BFCB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08C2BD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238708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00047D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B90D4B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7A8B" w14:paraId="6ADE91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8B6638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DD54CD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0B0A05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8C61F1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17.923,00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964BC4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26.264,00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E589A6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146,5</w:t>
            </w:r>
          </w:p>
        </w:tc>
      </w:tr>
    </w:tbl>
    <w:p w14:paraId="777DE0A1" w14:textId="77777777" w:rsidR="00DB7A8B" w:rsidRDefault="00DB7A8B">
      <w:pPr>
        <w:spacing w:after="0"/>
      </w:pPr>
    </w:p>
    <w:p w14:paraId="331F7F31" w14:textId="77777777" w:rsidR="00DB7A8B" w:rsidRDefault="006F2152">
      <w:pPr>
        <w:spacing w:line="240" w:lineRule="auto"/>
        <w:jc w:val="both"/>
      </w:pPr>
      <w:r>
        <w:t>- pomoći temeljem prijenosa EU sredstava odnose se na sredstva uplaćena od Agencije za mobilnost</w:t>
      </w:r>
    </w:p>
    <w:p w14:paraId="5A5F5AA2" w14:textId="77777777" w:rsidR="00DB7A8B" w:rsidRDefault="00DB7A8B"/>
    <w:p w14:paraId="1724DEE8" w14:textId="77777777" w:rsidR="00DB7A8B" w:rsidRDefault="006F2152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7A8B" w14:paraId="19752F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882CE4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F1307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F9B21C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32A959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97989F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C6C4B5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7A8B" w14:paraId="471CC8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A7EECA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807E98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proizvoda i robe te pruženih usluga, prihodi od donacija te povrati po protestiranim jamstvima (šifre </w:t>
            </w:r>
            <w:r>
              <w:rPr>
                <w:sz w:val="18"/>
              </w:rPr>
              <w:t>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85646F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6AE0A5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99.448,98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39107A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135.366,29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39FFF2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136,1</w:t>
            </w:r>
          </w:p>
        </w:tc>
      </w:tr>
    </w:tbl>
    <w:p w14:paraId="364F0FF3" w14:textId="77777777" w:rsidR="00DB7A8B" w:rsidRDefault="00DB7A8B">
      <w:pPr>
        <w:spacing w:after="0"/>
      </w:pPr>
    </w:p>
    <w:p w14:paraId="1223A3B7" w14:textId="77777777" w:rsidR="00DB7A8B" w:rsidRDefault="006F2152">
      <w:pPr>
        <w:spacing w:line="240" w:lineRule="auto"/>
        <w:jc w:val="both"/>
      </w:pPr>
      <w:r>
        <w:t>Prihod od pruženih usluga se povećao u odnosi se na prihode ostvarene od kino projekcija, najma, te raznih tečajeva i edukacija koje provodi POU Samobor</w:t>
      </w:r>
    </w:p>
    <w:p w14:paraId="7C4C4D10" w14:textId="77777777" w:rsidR="00DB7A8B" w:rsidRDefault="00DB7A8B"/>
    <w:p w14:paraId="163557C0" w14:textId="77777777" w:rsidR="00DB7A8B" w:rsidRDefault="006F2152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7A8B" w14:paraId="4FDC3A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41AD2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35BB5C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61A6CB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488295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63085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404678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7A8B" w14:paraId="3FB1F2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CEF99C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4AB461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F6DDDB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A9F4B3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409.941,42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1D3E36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564.832,94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E86687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137,8</w:t>
            </w:r>
          </w:p>
        </w:tc>
      </w:tr>
    </w:tbl>
    <w:p w14:paraId="28AD3D73" w14:textId="77777777" w:rsidR="00DB7A8B" w:rsidRDefault="00DB7A8B">
      <w:pPr>
        <w:spacing w:after="0"/>
      </w:pPr>
    </w:p>
    <w:p w14:paraId="191B2B10" w14:textId="77777777" w:rsidR="00DB7A8B" w:rsidRDefault="006F2152">
      <w:pPr>
        <w:spacing w:line="240" w:lineRule="auto"/>
        <w:jc w:val="both"/>
      </w:pPr>
      <w:r>
        <w:t>Najznačajniji prihod u strukturi ukupnih prihoda je prihod iz nadležnog proračuna za financiranje rashod poslovanja  koji sudjeluje u ukupnim prihodima sa 64,51 %</w:t>
      </w:r>
    </w:p>
    <w:p w14:paraId="424FC6D3" w14:textId="77777777" w:rsidR="00DB7A8B" w:rsidRDefault="00DB7A8B"/>
    <w:p w14:paraId="098B6778" w14:textId="77777777" w:rsidR="00DB7A8B" w:rsidRDefault="006F2152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7A8B" w14:paraId="63CC3F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0D1FC4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86C62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B2BEB2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A9D5D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83C56F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A2C8F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7A8B" w14:paraId="7C4E99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B6350A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1D9261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85739A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B07EB0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222.959,31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F8F210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360.637,99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6B3EA2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161,8</w:t>
            </w:r>
          </w:p>
        </w:tc>
      </w:tr>
    </w:tbl>
    <w:p w14:paraId="6E555D61" w14:textId="77777777" w:rsidR="00DB7A8B" w:rsidRDefault="00DB7A8B">
      <w:pPr>
        <w:spacing w:after="0"/>
      </w:pPr>
    </w:p>
    <w:p w14:paraId="5BEC3CB6" w14:textId="77777777" w:rsidR="00DB7A8B" w:rsidRDefault="006F2152">
      <w:pPr>
        <w:spacing w:line="240" w:lineRule="auto"/>
        <w:jc w:val="both"/>
      </w:pPr>
      <w:r>
        <w:t xml:space="preserve">Značajan  udio u ukupnim rashodima imaju rashodi za zaposlene (bruto plaće, doprinosi na plaće, </w:t>
      </w:r>
      <w:r>
        <w:t>naknade troškova zaposlenima, rashodi za materijal i energiju te rashodi za usluge), rashodi za bruto plaće su povećani iz razloga jer se povećavala osnovica za obračun plaće te koeficijenti obračuna</w:t>
      </w:r>
    </w:p>
    <w:p w14:paraId="10E1F04E" w14:textId="77777777" w:rsidR="00DB7A8B" w:rsidRDefault="00DB7A8B"/>
    <w:p w14:paraId="46CCA02D" w14:textId="77777777" w:rsidR="00DB7A8B" w:rsidRDefault="006F2152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7A8B" w14:paraId="636FF1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29AEE6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276B25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46501F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7C7B65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96AC22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56510C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7A8B" w14:paraId="173F39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9B56E1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60CBAE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72B929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3649C4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31.258,26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B89EF3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49.460,19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B69357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158,2</w:t>
            </w:r>
          </w:p>
        </w:tc>
      </w:tr>
    </w:tbl>
    <w:p w14:paraId="6F9C85AA" w14:textId="77777777" w:rsidR="00DB7A8B" w:rsidRDefault="00DB7A8B">
      <w:pPr>
        <w:spacing w:after="0"/>
      </w:pPr>
    </w:p>
    <w:p w14:paraId="62C0C08B" w14:textId="77777777" w:rsidR="00DB7A8B" w:rsidRDefault="006F2152">
      <w:pPr>
        <w:spacing w:line="240" w:lineRule="auto"/>
        <w:jc w:val="both"/>
      </w:pPr>
      <w:r>
        <w:t xml:space="preserve">Ostali rashodi za zaposlene odnose se na isplate nagrada, paušalne naknade za </w:t>
      </w:r>
      <w:r>
        <w:t>prehranu</w:t>
      </w:r>
    </w:p>
    <w:p w14:paraId="17A78305" w14:textId="77777777" w:rsidR="00DB7A8B" w:rsidRDefault="00DB7A8B"/>
    <w:p w14:paraId="105A0739" w14:textId="77777777" w:rsidR="00DB7A8B" w:rsidRDefault="006F2152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7A8B" w14:paraId="7A0A4C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D3D638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CE0B3F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22EC0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1864CD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DFD96D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A4F2FA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7A8B" w14:paraId="3994BF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255849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B8D28B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71F93D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734B5E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11.623,01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1EFD15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30.505,28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E007B6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262,5</w:t>
            </w:r>
          </w:p>
        </w:tc>
      </w:tr>
    </w:tbl>
    <w:p w14:paraId="1A7D2794" w14:textId="77777777" w:rsidR="00DB7A8B" w:rsidRDefault="00DB7A8B">
      <w:pPr>
        <w:spacing w:after="0"/>
      </w:pPr>
    </w:p>
    <w:p w14:paraId="4E640A5E" w14:textId="77777777" w:rsidR="00DB7A8B" w:rsidRDefault="006F2152">
      <w:pPr>
        <w:spacing w:line="240" w:lineRule="auto"/>
        <w:jc w:val="both"/>
      </w:pPr>
      <w:r>
        <w:t>Naknade troškova zaposlenima odnose se na uplate kotizacija, službena putovanja, naknade za prijevoz, a povećanje u odnosu na prethodnu godinu nastalo je zbog oporezivanja naknade za prijevoz.</w:t>
      </w:r>
    </w:p>
    <w:p w14:paraId="6EEE9B6D" w14:textId="77777777" w:rsidR="00DB7A8B" w:rsidRDefault="00DB7A8B"/>
    <w:p w14:paraId="52CD9849" w14:textId="77777777" w:rsidR="00DB7A8B" w:rsidRDefault="006F2152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7A8B" w14:paraId="5EF027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5813BE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A3717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2049BD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9D670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646D6A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65679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7A8B" w14:paraId="0A2C00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17791D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8E2162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A369E4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224000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221.873,13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FDF042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323.062,54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F6C68F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145,6</w:t>
            </w:r>
          </w:p>
        </w:tc>
      </w:tr>
    </w:tbl>
    <w:p w14:paraId="5516D443" w14:textId="77777777" w:rsidR="00DB7A8B" w:rsidRDefault="00DB7A8B">
      <w:pPr>
        <w:spacing w:after="0"/>
      </w:pPr>
    </w:p>
    <w:p w14:paraId="67D9FE6E" w14:textId="77777777" w:rsidR="00DB7A8B" w:rsidRDefault="006F2152">
      <w:pPr>
        <w:spacing w:line="240" w:lineRule="auto"/>
        <w:jc w:val="both"/>
      </w:pPr>
      <w:r>
        <w:t xml:space="preserve">Najveći udio u ukupnim rashodima odnosi se na </w:t>
      </w:r>
      <w:r>
        <w:t>rashode za usluge koje čine intelektualne usluge (ugovori o djelu, autorski, studentski servisi), zakupnine i najamnine ( kino), komunalne usluge, telefon i Internet, zdravstveni pregledi, usluge tekućeg i investicijskog održavanja, računalne usluge….</w:t>
      </w:r>
    </w:p>
    <w:p w14:paraId="3102B7F9" w14:textId="77777777" w:rsidR="00DB7A8B" w:rsidRDefault="00DB7A8B"/>
    <w:p w14:paraId="5058A884" w14:textId="77777777" w:rsidR="00DB7A8B" w:rsidRDefault="006F2152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7A8B" w14:paraId="39DD1C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45C0B8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FF3AD8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14ECF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B9029C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A60958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C13363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7A8B" w14:paraId="388421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8FDC6A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07D36F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4705CB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B606A0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13.362,69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2905B5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11.381,40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CCEBF1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85,2</w:t>
            </w:r>
          </w:p>
        </w:tc>
      </w:tr>
    </w:tbl>
    <w:p w14:paraId="3FFFE790" w14:textId="77777777" w:rsidR="00DB7A8B" w:rsidRDefault="00DB7A8B">
      <w:pPr>
        <w:spacing w:after="0"/>
      </w:pPr>
    </w:p>
    <w:p w14:paraId="57635ACD" w14:textId="77777777" w:rsidR="00DB7A8B" w:rsidRDefault="006F2152">
      <w:pPr>
        <w:spacing w:line="240" w:lineRule="auto"/>
        <w:jc w:val="both"/>
      </w:pPr>
      <w:r>
        <w:t>Ostali rashodi odnose se na reprezentaciju, naknade članovima UV-a, članarine, naknade.</w:t>
      </w:r>
    </w:p>
    <w:p w14:paraId="199F3BFF" w14:textId="77777777" w:rsidR="00DB7A8B" w:rsidRDefault="00DB7A8B"/>
    <w:p w14:paraId="0CCD7118" w14:textId="77777777" w:rsidR="00DB7A8B" w:rsidRDefault="006F2152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B7A8B" w14:paraId="3AA701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855D3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814AA7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19E20D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1F073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7262FC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4C5D61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7A8B" w14:paraId="358100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E696EA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38531E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D98401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AA1FF5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8.632,01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98F51D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56.104,47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001DB9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650,0</w:t>
            </w:r>
          </w:p>
        </w:tc>
      </w:tr>
    </w:tbl>
    <w:p w14:paraId="310D38D9" w14:textId="77777777" w:rsidR="00DB7A8B" w:rsidRDefault="00DB7A8B">
      <w:pPr>
        <w:spacing w:after="0"/>
      </w:pPr>
    </w:p>
    <w:p w14:paraId="634AB1E0" w14:textId="77777777" w:rsidR="00DB7A8B" w:rsidRDefault="006F2152">
      <w:pPr>
        <w:spacing w:line="240" w:lineRule="auto"/>
        <w:jc w:val="both"/>
      </w:pPr>
      <w:r>
        <w:t>Realizirane su nabave materijalne imovine , nabavljeni novi laptopi i druga oprema.</w:t>
      </w:r>
    </w:p>
    <w:p w14:paraId="4396BE6F" w14:textId="77777777" w:rsidR="00DB7A8B" w:rsidRDefault="00DB7A8B"/>
    <w:p w14:paraId="09147CEC" w14:textId="77777777" w:rsidR="00DB7A8B" w:rsidRDefault="006F2152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2091FFB" w14:textId="77777777" w:rsidR="00DB7A8B" w:rsidRDefault="006F2152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B7A8B" w14:paraId="3C215F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1CCD81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04A84D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B97507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CB6C54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07A3BD" w14:textId="77777777" w:rsidR="00DB7A8B" w:rsidRDefault="006F21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B7A8B" w14:paraId="5D3997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5D7DE5" w14:textId="77777777" w:rsidR="00DB7A8B" w:rsidRDefault="00DB7A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B3AA10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8FE28E" w14:textId="77777777" w:rsidR="00DB7A8B" w:rsidRDefault="006F21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F34B02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32.900,93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917B71" w14:textId="77777777" w:rsidR="00DB7A8B" w:rsidRDefault="006F21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57C00BF" w14:textId="77777777" w:rsidR="00DB7A8B" w:rsidRDefault="00DB7A8B">
      <w:pPr>
        <w:spacing w:after="0"/>
      </w:pPr>
    </w:p>
    <w:p w14:paraId="01354468" w14:textId="77777777" w:rsidR="00DB7A8B" w:rsidRDefault="006F2152">
      <w:pPr>
        <w:spacing w:line="240" w:lineRule="auto"/>
        <w:jc w:val="both"/>
      </w:pPr>
      <w:r>
        <w:t xml:space="preserve">Dospjele obveze - 32.900,93 - prekoračenje je manje od mjesec dana. Najvećim dijelom </w:t>
      </w:r>
      <w:r>
        <w:t>razlog prekoračenja je nepravovremena dostava računa od strane dobavljača.</w:t>
      </w:r>
    </w:p>
    <w:p w14:paraId="738DF2EA" w14:textId="77777777" w:rsidR="00DB7A8B" w:rsidRDefault="00DB7A8B"/>
    <w:sectPr w:rsidR="00DB7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8B"/>
    <w:rsid w:val="006F2152"/>
    <w:rsid w:val="00997291"/>
    <w:rsid w:val="00C06882"/>
    <w:rsid w:val="00D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39D2"/>
  <w15:docId w15:val="{2078D7AF-535A-4046-A512-8638BFA7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B1C5D1DF83D438023DCD1E521A4BB" ma:contentTypeVersion="18" ma:contentTypeDescription="Create a new document." ma:contentTypeScope="" ma:versionID="c00071165b8537be1b56ee2f38cbe7d7">
  <xsd:schema xmlns:xsd="http://www.w3.org/2001/XMLSchema" xmlns:xs="http://www.w3.org/2001/XMLSchema" xmlns:p="http://schemas.microsoft.com/office/2006/metadata/properties" xmlns:ns2="14f0dee1-b903-497b-840a-032b19d99808" xmlns:ns3="6c5e3db4-8f85-4174-8a61-ec0ec55cd4a7" targetNamespace="http://schemas.microsoft.com/office/2006/metadata/properties" ma:root="true" ma:fieldsID="6840e572eb358cffbd192f235d24db3d" ns2:_="" ns3:_="">
    <xsd:import namespace="14f0dee1-b903-497b-840a-032b19d99808"/>
    <xsd:import namespace="6c5e3db4-8f85-4174-8a61-ec0ec55cd4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0dee1-b903-497b-840a-032b19d99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9377d66-c8ee-4eec-90b7-a636d6096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e3db4-8f85-4174-8a61-ec0ec55cd4a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38d8ad7-f05e-4420-9f7e-3c45b54905e8}" ma:internalName="TaxCatchAll" ma:showField="CatchAllData" ma:web="6c5e3db4-8f85-4174-8a61-ec0ec55cd4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5e3db4-8f85-4174-8a61-ec0ec55cd4a7" xsi:nil="true"/>
    <lcf76f155ced4ddcb4097134ff3c332f xmlns="14f0dee1-b903-497b-840a-032b19d998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6E5B53-0358-4D82-9B08-8DEA71A3E82D}"/>
</file>

<file path=customXml/itemProps2.xml><?xml version="1.0" encoding="utf-8"?>
<ds:datastoreItem xmlns:ds="http://schemas.openxmlformats.org/officeDocument/2006/customXml" ds:itemID="{EECB4B6D-AC9E-45CE-8208-CD2E2A05E70A}"/>
</file>

<file path=customXml/itemProps3.xml><?xml version="1.0" encoding="utf-8"?>
<ds:datastoreItem xmlns:ds="http://schemas.openxmlformats.org/officeDocument/2006/customXml" ds:itemID="{DBBF2D98-77E0-426F-9798-4EEBED9F2F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973</Words>
  <Characters>5550</Characters>
  <Application>Microsoft Office Word</Application>
  <DocSecurity>0</DocSecurity>
  <Lines>46</Lines>
  <Paragraphs>13</Paragraphs>
  <ScaleCrop>false</ScaleCrop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Adrijana Kudric</dc:creator>
  <cp:lastModifiedBy>Adrijana Kudric</cp:lastModifiedBy>
  <cp:revision>2</cp:revision>
  <dcterms:created xsi:type="dcterms:W3CDTF">2025-07-10T08:57:00Z</dcterms:created>
  <dcterms:modified xsi:type="dcterms:W3CDTF">2025-07-10T08:57:00Z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0x01010054EB1C5D1DF83D438023DCD1E521A4BB</vt:lpwstr>
  </property>
</Properties>
</file>