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0D" w:rsidRPr="005C1C0D" w:rsidRDefault="005C1C0D" w:rsidP="005C1C0D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b/>
          <w:bCs/>
          <w:i/>
          <w:sz w:val="28"/>
          <w:szCs w:val="28"/>
          <w:u w:val="single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i/>
          <w:sz w:val="28"/>
          <w:szCs w:val="28"/>
          <w:u w:val="single"/>
          <w:lang w:eastAsia="hr-HR"/>
        </w:rPr>
        <w:t>Prijedlog</w:t>
      </w:r>
    </w:p>
    <w:p w:rsidR="005C1C0D" w:rsidRPr="005C1C0D" w:rsidRDefault="005C1C0D" w:rsidP="005C1C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5C1C0D">
        <w:rPr>
          <w:rFonts w:ascii="Times New Roman" w:eastAsiaTheme="minorEastAsia" w:hAnsi="Times New Roman" w:cs="Times New Roman"/>
          <w:bCs/>
          <w:sz w:val="28"/>
          <w:szCs w:val="28"/>
          <w:lang w:eastAsia="hr-HR"/>
        </w:rPr>
        <w:t xml:space="preserve">Temeljem članka 29. Zakona o poljoprivrednom zemljištu ( NN 20/2018.god.), te članka 30. Statuta Grada Samobora (Službene vijesti Grada Samobora br. 3/16 i 1/18) Gradsko vijeće Grada Samobora  je na svojoj ____sjednici održanoj dana ________2018.god. donijelo </w:t>
      </w: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hr-HR"/>
        </w:rPr>
      </w:pPr>
    </w:p>
    <w:p w:rsidR="005C1C0D" w:rsidRPr="005C1C0D" w:rsidRDefault="005C1C0D" w:rsidP="005C1C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  <w:t xml:space="preserve"> </w:t>
      </w:r>
    </w:p>
    <w:p w:rsidR="005C1C0D" w:rsidRPr="005C1C0D" w:rsidRDefault="005C1C0D" w:rsidP="005C1C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  <w:t>PROGRAM RASPOLAGANJA POLJOPRIVREDNIM ZEMLJIŠTEM U VLASNIŠTVU REPUBLIKE HRVATSKE ZA GRAD SAMOBOR</w:t>
      </w:r>
    </w:p>
    <w:p w:rsidR="005C1C0D" w:rsidRPr="005C1C0D" w:rsidRDefault="005C1C0D" w:rsidP="005C1C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  <w:t xml:space="preserve">  </w:t>
      </w:r>
    </w:p>
    <w:p w:rsidR="005C1C0D" w:rsidRPr="005C1C0D" w:rsidRDefault="005C1C0D" w:rsidP="005C1C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  <w:t xml:space="preserve">  </w:t>
      </w:r>
    </w:p>
    <w:p w:rsidR="005C1C0D" w:rsidRPr="005C1C0D" w:rsidRDefault="005C1C0D" w:rsidP="005C1C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  <w:t> </w:t>
      </w:r>
    </w:p>
    <w:p w:rsidR="005C1C0D" w:rsidRPr="005C1C0D" w:rsidRDefault="005C1C0D" w:rsidP="005C1C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Na području grada/općine Samobor ukupno je </w:t>
      </w:r>
      <w:r w:rsidR="00A3519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46</w:t>
      </w:r>
      <w:r w:rsidRPr="005C1C0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="001B6E3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821</w:t>
      </w:r>
      <w:r w:rsidRPr="005C1C0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5C1C0D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ha poljoprivrednog zemljišta u vlasništvu Republike Hrvatske. </w:t>
      </w: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C1C0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  </w:t>
      </w: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PODACI O DOSADAŠNJEM RASPOLAGANJU </w:t>
      </w: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4252"/>
        <w:gridCol w:w="3119"/>
        <w:gridCol w:w="4819"/>
      </w:tblGrid>
      <w:tr w:rsidR="005C1C0D" w:rsidRPr="005C1C0D" w:rsidTr="00A40DE2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REDNI BROJ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VRSTA UGOVORA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UKUPAN BROJ UGOVORA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UKUPNA POVRŠINA PO UGOVORIMA u ha </w:t>
            </w:r>
          </w:p>
        </w:tc>
      </w:tr>
      <w:tr w:rsidR="005C1C0D" w:rsidRPr="005C1C0D" w:rsidTr="00A40DE2">
        <w:trPr>
          <w:trHeight w:val="549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  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zakup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</w:tr>
      <w:tr w:rsidR="005C1C0D" w:rsidRPr="005C1C0D" w:rsidTr="00A40DE2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  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dugogodišnji zakup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23.4734</w:t>
            </w:r>
          </w:p>
        </w:tc>
      </w:tr>
      <w:tr w:rsidR="005C1C0D" w:rsidRPr="005C1C0D" w:rsidTr="00A40DE2">
        <w:trPr>
          <w:trHeight w:val="409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  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koncesija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5C1C0D" w:rsidRPr="005C1C0D" w:rsidTr="00A40DE2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  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privremeno korištenje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4.7914</w:t>
            </w:r>
          </w:p>
        </w:tc>
      </w:tr>
      <w:tr w:rsidR="005C1C0D" w:rsidRPr="005C1C0D" w:rsidTr="00A40DE2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  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prodaja s obročnom otplatom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5C1C0D" w:rsidRPr="005C1C0D" w:rsidTr="00A40DE2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</w:tr>
    </w:tbl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  </w:t>
      </w: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 </w:t>
      </w: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lastRenderedPageBreak/>
        <w:t xml:space="preserve">SADRŽAJ PROGRAMA </w:t>
      </w: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2977"/>
        <w:gridCol w:w="4961"/>
      </w:tblGrid>
      <w:tr w:rsidR="005C1C0D" w:rsidRPr="005C1C0D" w:rsidTr="00A40DE2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OBLIK RASPOLAGANJA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POVRŠINA </w:t>
            </w:r>
          </w:p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u ha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NAPOMENA </w:t>
            </w:r>
          </w:p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(minirano, višegodišnji nasadi i sustavi odvodnje i navodnjavanja) </w:t>
            </w:r>
          </w:p>
        </w:tc>
      </w:tr>
      <w:tr w:rsidR="005C1C0D" w:rsidRPr="005C1C0D" w:rsidTr="00A40DE2">
        <w:trPr>
          <w:trHeight w:val="557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lang w:eastAsia="hr-HR"/>
              </w:rPr>
              <w:t xml:space="preserve">površine određene za </w:t>
            </w:r>
            <w:r w:rsidRPr="005C1C0D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povrat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Theme="minorEastAsia" w:hAnsi="Calibri" w:cs="Calibri"/>
                <w:lang w:eastAsia="hr-HR"/>
              </w:rPr>
            </w:pPr>
            <w:r w:rsidRPr="005C1C0D">
              <w:rPr>
                <w:rFonts w:ascii="Calibri" w:eastAsiaTheme="minorEastAsia" w:hAnsi="Calibri" w:cs="Calibri"/>
                <w:b/>
                <w:bCs/>
                <w:lang w:eastAsia="hr-HR"/>
              </w:rPr>
              <w:t xml:space="preserve"> 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Theme="minorEastAsia" w:hAnsi="Calibri" w:cs="Calibri"/>
                <w:lang w:eastAsia="hr-HR"/>
              </w:rPr>
            </w:pPr>
            <w:r w:rsidRPr="005C1C0D">
              <w:rPr>
                <w:rFonts w:ascii="Calibri" w:eastAsiaTheme="minorEastAsia" w:hAnsi="Calibri" w:cs="Calibri"/>
                <w:b/>
                <w:bCs/>
                <w:lang w:eastAsia="hr-HR"/>
              </w:rPr>
              <w:t xml:space="preserve">  </w:t>
            </w:r>
          </w:p>
        </w:tc>
      </w:tr>
      <w:tr w:rsidR="005C1C0D" w:rsidRPr="005C1C0D" w:rsidTr="00A40DE2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lang w:eastAsia="hr-HR"/>
              </w:rPr>
              <w:t xml:space="preserve">površine određene za </w:t>
            </w:r>
            <w:r w:rsidRPr="005C1C0D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prodaju </w:t>
            </w:r>
            <w:r w:rsidRPr="005C1C0D">
              <w:rPr>
                <w:rFonts w:ascii="Times New Roman" w:eastAsiaTheme="minorEastAsia" w:hAnsi="Times New Roman" w:cs="Times New Roman"/>
                <w:lang w:eastAsia="hr-HR"/>
              </w:rPr>
              <w:t xml:space="preserve">  </w:t>
            </w:r>
          </w:p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lang w:eastAsia="hr-HR"/>
              </w:rPr>
              <w:t xml:space="preserve">- jednokratno, maksimalno </w:t>
            </w:r>
          </w:p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lang w:eastAsia="hr-HR"/>
              </w:rPr>
              <w:t xml:space="preserve">do 25%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5C1C0D" w:rsidRPr="005C1C0D" w:rsidRDefault="00D378B0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5C1C0D" w:rsidRPr="005C1C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3.3712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Theme="minorEastAsia" w:hAnsi="Calibri" w:cs="Calibri"/>
                <w:lang w:eastAsia="hr-HR"/>
              </w:rPr>
            </w:pPr>
            <w:r w:rsidRPr="005C1C0D">
              <w:rPr>
                <w:rFonts w:ascii="Calibri" w:eastAsiaTheme="minorEastAsia" w:hAnsi="Calibri" w:cs="Calibri"/>
                <w:b/>
                <w:bCs/>
                <w:lang w:eastAsia="hr-HR"/>
              </w:rPr>
              <w:t xml:space="preserve">  </w:t>
            </w:r>
          </w:p>
        </w:tc>
      </w:tr>
      <w:tr w:rsidR="005C1C0D" w:rsidRPr="005C1C0D" w:rsidTr="00A40DE2">
        <w:trPr>
          <w:trHeight w:val="51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lang w:eastAsia="hr-HR"/>
              </w:rPr>
              <w:t xml:space="preserve">površine određene za </w:t>
            </w:r>
            <w:r w:rsidRPr="005C1C0D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zakup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D378B0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15.185</w:t>
            </w:r>
            <w:r w:rsidR="007D50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Theme="minorEastAsia" w:hAnsi="Calibri" w:cs="Calibri"/>
                <w:lang w:eastAsia="hr-HR"/>
              </w:rPr>
            </w:pPr>
            <w:r w:rsidRPr="005C1C0D">
              <w:rPr>
                <w:rFonts w:ascii="Calibri" w:eastAsiaTheme="minorEastAsia" w:hAnsi="Calibri" w:cs="Calibri"/>
                <w:b/>
                <w:bCs/>
                <w:lang w:eastAsia="hr-HR"/>
              </w:rPr>
              <w:t xml:space="preserve">  </w:t>
            </w:r>
          </w:p>
        </w:tc>
      </w:tr>
      <w:tr w:rsidR="005C1C0D" w:rsidRPr="005C1C0D" w:rsidTr="00A40DE2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lang w:eastAsia="hr-HR"/>
              </w:rPr>
              <w:t xml:space="preserve">površine određene za </w:t>
            </w:r>
            <w:r w:rsidRPr="005C1C0D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zakup za ribnjake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hr-HR"/>
              </w:rPr>
            </w:pPr>
            <w:r w:rsidRPr="005C1C0D">
              <w:rPr>
                <w:rFonts w:ascii="Calibri" w:eastAsiaTheme="minorEastAsia" w:hAnsi="Calibri" w:cs="Calibri"/>
                <w:b/>
                <w:bCs/>
                <w:lang w:eastAsia="hr-HR"/>
              </w:rPr>
              <w:t>-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hr-HR"/>
              </w:rPr>
            </w:pPr>
            <w:r w:rsidRPr="005C1C0D">
              <w:rPr>
                <w:rFonts w:ascii="Calibri" w:eastAsiaTheme="minorEastAsia" w:hAnsi="Calibri" w:cs="Calibri"/>
                <w:b/>
                <w:bCs/>
                <w:lang w:eastAsia="hr-HR"/>
              </w:rPr>
              <w:t>-</w:t>
            </w:r>
          </w:p>
        </w:tc>
      </w:tr>
      <w:tr w:rsidR="005C1C0D" w:rsidRPr="005C1C0D" w:rsidTr="00A40DE2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lang w:eastAsia="hr-HR"/>
              </w:rPr>
              <w:t xml:space="preserve">površine određene za </w:t>
            </w:r>
            <w:r w:rsidRPr="005C1C0D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zakup zajedničkih pašnjaka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hr-HR"/>
              </w:rPr>
            </w:pPr>
            <w:r w:rsidRPr="005C1C0D">
              <w:rPr>
                <w:rFonts w:ascii="Calibri" w:eastAsiaTheme="minorEastAsia" w:hAnsi="Calibri" w:cs="Calibri"/>
                <w:b/>
                <w:bCs/>
                <w:lang w:eastAsia="hr-HR"/>
              </w:rPr>
              <w:t>-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hr-HR"/>
              </w:rPr>
            </w:pPr>
            <w:r w:rsidRPr="005C1C0D">
              <w:rPr>
                <w:rFonts w:ascii="Calibri" w:eastAsiaTheme="minorEastAsia" w:hAnsi="Calibri" w:cs="Calibri"/>
                <w:b/>
                <w:bCs/>
                <w:lang w:eastAsia="hr-HR"/>
              </w:rPr>
              <w:t>-</w:t>
            </w:r>
          </w:p>
        </w:tc>
      </w:tr>
      <w:tr w:rsidR="005C1C0D" w:rsidRPr="005C1C0D" w:rsidTr="00A40DE2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lang w:eastAsia="hr-HR"/>
              </w:rPr>
              <w:t xml:space="preserve">površine određene za </w:t>
            </w:r>
            <w:r w:rsidRPr="005C1C0D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ostale namjene</w:t>
            </w:r>
          </w:p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lang w:eastAsia="hr-HR"/>
              </w:rPr>
              <w:t>- jednokratno, maksimalno</w:t>
            </w:r>
          </w:p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5C1C0D">
              <w:rPr>
                <w:rFonts w:ascii="Times New Roman" w:eastAsiaTheme="minorEastAsia" w:hAnsi="Times New Roman" w:cs="Times New Roman"/>
                <w:lang w:eastAsia="hr-HR"/>
              </w:rPr>
              <w:t>do 5%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hr-HR"/>
              </w:rPr>
            </w:pPr>
            <w:r w:rsidRPr="005C1C0D">
              <w:rPr>
                <w:rFonts w:ascii="Calibri" w:eastAsiaTheme="minorEastAsia" w:hAnsi="Calibri" w:cs="Calibri"/>
                <w:b/>
                <w:bCs/>
                <w:lang w:eastAsia="hr-HR"/>
              </w:rPr>
              <w:t>-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hr-HR"/>
              </w:rPr>
            </w:pPr>
            <w:r w:rsidRPr="005C1C0D">
              <w:rPr>
                <w:rFonts w:ascii="Calibri" w:eastAsiaTheme="minorEastAsia" w:hAnsi="Calibri" w:cs="Calibri"/>
                <w:b/>
                <w:bCs/>
                <w:lang w:eastAsia="hr-HR"/>
              </w:rPr>
              <w:t>-</w:t>
            </w:r>
          </w:p>
        </w:tc>
      </w:tr>
    </w:tbl>
    <w:p w:rsidR="005C1C0D" w:rsidRPr="005C1C0D" w:rsidRDefault="005C1C0D" w:rsidP="005C1C0D">
      <w:pPr>
        <w:spacing w:after="0" w:line="240" w:lineRule="auto"/>
        <w:jc w:val="center"/>
        <w:rPr>
          <w:rFonts w:ascii="Calibri" w:eastAsiaTheme="minorEastAsia" w:hAnsi="Calibri" w:cs="Calibri"/>
          <w:lang w:eastAsia="hr-HR"/>
        </w:rPr>
      </w:pPr>
    </w:p>
    <w:p w:rsidR="005C1C0D" w:rsidRPr="005C1C0D" w:rsidRDefault="005C1C0D" w:rsidP="005C1C0D">
      <w:pPr>
        <w:spacing w:after="0" w:line="240" w:lineRule="auto"/>
        <w:rPr>
          <w:rFonts w:ascii="Calibri" w:eastAsiaTheme="minorEastAsia" w:hAnsi="Calibri" w:cs="Calibri"/>
          <w:lang w:eastAsia="hr-HR"/>
        </w:rPr>
      </w:pPr>
      <w:r w:rsidRPr="005C1C0D">
        <w:rPr>
          <w:rFonts w:ascii="Calibri" w:eastAsiaTheme="minorEastAsia" w:hAnsi="Calibri" w:cs="Calibri"/>
          <w:b/>
          <w:bCs/>
          <w:lang w:eastAsia="hr-HR"/>
        </w:rPr>
        <w:t xml:space="preserve">  </w:t>
      </w: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MAKSIMALNA POVRŠINA ZA ZAKUP iznosi: 5 </w:t>
      </w:r>
      <w:r w:rsidRPr="005C1C0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ha. </w:t>
      </w: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MAKSIMALNA POVRŠINA ZA PRODAJU iznosi: 1 </w:t>
      </w:r>
      <w:r w:rsidRPr="005C1C0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ha. </w:t>
      </w: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C1C0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  </w:t>
      </w: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NAPOMENA/OBRAZLOŽENJE </w:t>
      </w:r>
      <w:r w:rsidRPr="005C1C0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(određene specifičnosti za područje jedinice lokalne samouprave): </w:t>
      </w: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9"/>
      </w:tblGrid>
      <w:tr w:rsidR="005C1C0D" w:rsidRPr="005C1C0D" w:rsidTr="00A40DE2">
        <w:trPr>
          <w:trHeight w:val="3104"/>
        </w:trPr>
        <w:tc>
          <w:tcPr>
            <w:tcW w:w="1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C1C0D" w:rsidRPr="005C1C0D" w:rsidRDefault="005C1C0D" w:rsidP="005C1C0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1C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1. Grad Samobor je dana 28. svibnja 2003. na 19. sjednici Gradskog vijeća grada Samobora donio Program raspolaganja poljoprivrednim zemljištem u vlasništvu Republike Hrvatske za zemljište koje se teritorijalno nalazi na području grada Samobora (dalje u tekstu: Program), Klasa: 021-05/03-01/4, </w:t>
            </w:r>
            <w:proofErr w:type="spellStart"/>
            <w:r w:rsidRPr="005C1C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Ur.broj</w:t>
            </w:r>
            <w:proofErr w:type="spellEnd"/>
            <w:r w:rsidRPr="005C1C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238-11-01-03/22, na koji je Ministarstvo poljoprivrede, ribarstva i ruralnog razvoja dalo suglasnost 17. veljače 2004. godine Klasa: 320-02/02-01/488, </w:t>
            </w:r>
            <w:proofErr w:type="spellStart"/>
            <w:r w:rsidRPr="005C1C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Ur.broj</w:t>
            </w:r>
            <w:proofErr w:type="spellEnd"/>
            <w:r w:rsidRPr="005C1C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 525-02-04-02/ID. Tim je Programom je utvrđeno  ukupno 115.907 m</w:t>
            </w:r>
            <w:r w:rsidRPr="005C1C0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  <w:r w:rsidRPr="005C1C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poljoprivrednih površina  za prodaju i zakup.</w:t>
            </w:r>
          </w:p>
          <w:p w:rsidR="005C1C0D" w:rsidRPr="005C1C0D" w:rsidRDefault="005C1C0D" w:rsidP="005C1C0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1C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 obzirom na niz novih okolnosti te promjena u Prostornom planu Grada Samobora, kao i prenamjenama koje su uslijedile izradom i donošenjem Generalnog urbanističkog plana Grada Samobora i niza drugih promjena koje su nastale, a odnose se na raspolaganje poljoprivrednim zemljištem u vlasništvu države, bilo je nužno  izraditi Izmjene i dopune Programa raspolaganja poljoprivrednim zemljištem vlasništvu države koje se teritorijalno nalazi na području grada Samobora. </w:t>
            </w:r>
          </w:p>
          <w:p w:rsidR="005C1C0D" w:rsidRPr="005C1C0D" w:rsidRDefault="005C1C0D" w:rsidP="005C1C0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1C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Osim navedenog, treba naglasiti da je trgovačko društvo Stočar d.d. u stečaju raspolagalo sa cca. 80% poljoprivrednog obradivog zemljišta u vlasništvu države na području grada Samobora, te držalo u posjedu zemljište u vlasništvu države, a sa Republikom Hrvatskom nije reguliralo način korištenja tog zemljišta te da dio zemljišta nije uneseno u temeljni kapital društva u postupku pretvorbe. Tako je, u skladu s uređenjem imovinskog stanja poljoprivrednih površina te rješenjem sudskog spora radi utvrđivanja prava vlasništva između Republike Hrvatske i trgovačkog društva Stočar d.o.o., pravomoćnom presudom od 17. rujna 2010 godine Trgovački sud u Zagrebu isti spor riješio u korist Republike Hrvatske. </w:t>
            </w:r>
          </w:p>
          <w:p w:rsidR="005C1C0D" w:rsidRPr="005C1C0D" w:rsidRDefault="005C1C0D" w:rsidP="005C1C0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1C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Temeljem zahtjeva fizičkih osoba određeni dio poljoprivrednog zemljišta oduzetog za vrijeme jugoslavenske komunističke vladavine, a koje je bilo uvršteno u Program, vraćeno je prijašnjim vlasnicima, a na dijelu poljoprivrednih katastarskih čestica prije nisu bili u potpunosti uređeni imovinsko - pravni odnosi. </w:t>
            </w:r>
          </w:p>
          <w:p w:rsidR="005C1C0D" w:rsidRPr="005C1C0D" w:rsidRDefault="005C1C0D" w:rsidP="005C1C0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1C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Zbog nastalih promjena u katastru, također je bilo potrebno provesti usklađenje podataka u katastru i zemljišnim knjigama za neke katastarske općine na području grada Samobora, a kako je 2004. godine Republika Hrvatska stekla vlasništvo nad određenim poljoprivrednim površinama isto je bilo potrebno ugraditi u Izmjene i dopune Programa u 2011.godini.</w:t>
            </w:r>
          </w:p>
          <w:p w:rsidR="005C1C0D" w:rsidRPr="005C1C0D" w:rsidRDefault="005C1C0D" w:rsidP="005C1C0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1C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Stupanjem na snagu novog Zakona o poljoprivrednom zemljištu (NN br. 20/18) jedinice lokalne samouprave su dužne izraditi novi Program raspolaganja poljoprivrednim zemljištem i uskladiti raspolaganje poljoprivrednim zemljište s novim stanjem na terenu.</w:t>
            </w:r>
          </w:p>
          <w:p w:rsidR="005C1C0D" w:rsidRPr="005C1C0D" w:rsidRDefault="005C1C0D" w:rsidP="005C1C0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1C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Prijedlog Programa s popratnom dokumentacijom biti će izložen na javni uvid u trajanju od 15 dana. </w:t>
            </w:r>
          </w:p>
          <w:p w:rsidR="005C1C0D" w:rsidRPr="005C1C0D" w:rsidRDefault="005C1C0D" w:rsidP="005C1C0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1C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Zainteresirane osobe mogu podnijeti prigovore na Prijedlog Programa najkasnije do isteka roka za održavanje javnog uvida. </w:t>
            </w:r>
          </w:p>
          <w:p w:rsidR="005C1C0D" w:rsidRPr="005C1C0D" w:rsidRDefault="005C1C0D" w:rsidP="005C1C0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1C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Nakon odlučivanja o prijedlozima i prigovorima Gradsko vijeće će donijeti Program, te će isti s popratnom dokumentacijom u roku od 30 dana dostaviti na suglasnost Ministarstvu poljoprivrede, ribarstva i ruralnog razvoja (u daljnjem tekstu: Ministarstvo).</w:t>
            </w:r>
          </w:p>
          <w:p w:rsidR="005C1C0D" w:rsidRPr="005C1C0D" w:rsidRDefault="005C1C0D" w:rsidP="005C1C0D">
            <w:pPr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1C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 teritorijalnom području grada Samobora nalaze se velike površine šumskog zemljišta, ali iste nisu iskazane iz razloga što jedinice lokalne samouprave sa šumama i šumskim zemljištem u vlasništvu države ne mogu raspolagati. </w:t>
            </w:r>
          </w:p>
          <w:p w:rsidR="005C1C0D" w:rsidRPr="005C1C0D" w:rsidRDefault="005C1C0D" w:rsidP="005C1C0D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1C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Nadalje, na području grada Samobora postoje veće površine poljoprivrednog i šumskog zemljišta koje su u vlasništvu Grada Samobora, a nisu iskazane ovim programom. </w:t>
            </w:r>
          </w:p>
          <w:p w:rsidR="005C1C0D" w:rsidRPr="005C1C0D" w:rsidRDefault="005C1C0D" w:rsidP="005C1C0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1C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Ovim programom nisu iskazane manje poljoprivredne površine koje su prema podacima iz katastra i iz zemljišnih knjiga navedene kao poljoprivredne čestice (oranice, livade, pašnjaci), ali se iste Generalnim urbanističkim planom Grada Samobora (GUP) nalaze u obuhvatu Urbanističkog plana uređenja (UPU) i Detaljnog plana uređenja (DPU) kao čestice predviđene za poslovne namjene, za gospodarske zone ili koridore prometnica i željeznice. </w:t>
            </w:r>
          </w:p>
          <w:p w:rsidR="005C1C0D" w:rsidRPr="005C1C0D" w:rsidRDefault="005C1C0D" w:rsidP="005C1C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lastRenderedPageBreak/>
        <w:t xml:space="preserve">  </w:t>
      </w: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 w:rsidRPr="005C1C0D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TABLICA POLJOPRIVREDNOG ZEMLJIŠTA PO POJEDINIM OBLICIMA RASPOLAGANJA</w:t>
      </w:r>
    </w:p>
    <w:p w:rsidR="005C1C0D" w:rsidRPr="005C1C0D" w:rsidRDefault="005C1C0D" w:rsidP="005C1C0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tbl>
      <w:tblPr>
        <w:tblW w:w="16312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992"/>
        <w:gridCol w:w="1134"/>
        <w:gridCol w:w="1134"/>
        <w:gridCol w:w="1701"/>
        <w:gridCol w:w="1559"/>
        <w:gridCol w:w="1843"/>
        <w:gridCol w:w="1559"/>
        <w:gridCol w:w="1843"/>
        <w:gridCol w:w="1417"/>
        <w:gridCol w:w="11"/>
      </w:tblGrid>
      <w:tr w:rsidR="005C1C0D" w:rsidRPr="005C1C0D" w:rsidTr="00FC46F1">
        <w:trPr>
          <w:trHeight w:val="585"/>
        </w:trPr>
        <w:tc>
          <w:tcPr>
            <w:tcW w:w="163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TABLICA POLJOPRIVREDNOG ZEMLJIŠTA PO POJEDINIM OBLICIMA RASPOLAGANJA </w:t>
            </w:r>
          </w:p>
        </w:tc>
      </w:tr>
      <w:tr w:rsidR="005C1C0D" w:rsidRPr="005C1C0D" w:rsidTr="00FC46F1">
        <w:trPr>
          <w:gridAfter w:val="1"/>
          <w:wAfter w:w="11" w:type="dxa"/>
          <w:trHeight w:val="37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r.br.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županija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općina/Grad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katastarska općina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katastarska     općina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Katastarska     čestica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katastarska čestica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Katastarska            čestica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Katastarska           čestica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katastarska     čestica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veza oznaka</w:t>
            </w:r>
          </w:p>
        </w:tc>
      </w:tr>
      <w:tr w:rsidR="005C1C0D" w:rsidRPr="005C1C0D" w:rsidTr="00FC46F1">
        <w:trPr>
          <w:gridAfter w:val="1"/>
          <w:wAfter w:w="11" w:type="dxa"/>
          <w:trHeight w:val="2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naziv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oznaka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broj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površina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kultura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oblik raspolaganja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trajanje  raspolaganja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(minirano, obraslo, nesređeno ZK stanje)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PL, Izvod, </w:t>
            </w:r>
          </w:p>
        </w:tc>
      </w:tr>
      <w:tr w:rsidR="005C1C0D" w:rsidRPr="005C1C0D" w:rsidTr="00FC46F1">
        <w:trPr>
          <w:gridAfter w:val="1"/>
          <w:wAfter w:w="11" w:type="dxa"/>
          <w:trHeight w:val="83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ha</w:t>
            </w: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hr-HR"/>
              </w:rPr>
              <w:t xml:space="preserve">m2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(oranica, livada, pašnjak, ribnjak)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(povrat, prodaja, zakup, zakup zajedničkog pašnjaka, zakup za ribnjake, ostale namjene (navesti))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(do datuma)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Jalši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4096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Jalši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Jalši</w:t>
            </w:r>
            <w:proofErr w:type="spellEnd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Jakši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Vrbičnica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Vrbičnica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356/2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Vrbičnica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356/4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Vrbičnica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356/5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Krči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3897/1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Krči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3916/1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Krči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3916/2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Krči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3916/3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Vrbovec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Klen u </w:t>
            </w: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Domaslovečkom</w:t>
            </w:r>
            <w:proofErr w:type="spellEnd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polju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Vrbovec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Zaton  u </w:t>
            </w: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Domaslovečkom</w:t>
            </w:r>
            <w:proofErr w:type="spellEnd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polju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545/5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7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Otok Samoborski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Osišće</w:t>
            </w:r>
            <w:proofErr w:type="spellEnd"/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Bobovici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Otok Samoborski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Osišće</w:t>
            </w:r>
            <w:proofErr w:type="spellEnd"/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Bobovici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Otok Samoborski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Pod Gorica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Otok Samoborski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Pod Gorica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prodaja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Konščica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Ivšak</w:t>
            </w:r>
            <w:proofErr w:type="spellEnd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podvišćaku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1760/5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Konščica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Ivšak</w:t>
            </w:r>
            <w:proofErr w:type="spellEnd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podvišćaku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1764/14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Konščica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Ivšak</w:t>
            </w:r>
            <w:proofErr w:type="spellEnd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podvišćaku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1764/15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Konščica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Ivšak</w:t>
            </w:r>
            <w:proofErr w:type="spellEnd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podvišćaku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1764/16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24.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Konščica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Ivšak</w:t>
            </w:r>
            <w:proofErr w:type="spellEnd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podvišćaku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1764/17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Šikara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Šikara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2495/3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4381,  18.8.2065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320-01/14-04/09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4279/11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4279/12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39559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4279/11,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320-01/14-04/09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4279/13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36714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4279/14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4279/14,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320-01/14-04/09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4279/15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4279/21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4279/21,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320-01/14-04/09</w:t>
            </w:r>
          </w:p>
        </w:tc>
      </w:tr>
      <w:tr w:rsidR="005C1C0D" w:rsidRPr="005C1C0D" w:rsidTr="00FC46F1">
        <w:trPr>
          <w:gridAfter w:val="1"/>
          <w:wAfter w:w="11" w:type="dxa"/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4279/22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4279/22,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320-01/14-04/10</w:t>
            </w:r>
          </w:p>
        </w:tc>
      </w:tr>
      <w:tr w:rsidR="005C1C0D" w:rsidRPr="005C1C0D" w:rsidTr="00FC46F1">
        <w:trPr>
          <w:gridAfter w:val="1"/>
          <w:wAfter w:w="11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4280, 18.8.2065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320-01/14-04/11</w:t>
            </w:r>
          </w:p>
        </w:tc>
      </w:tr>
      <w:tr w:rsidR="005C1C0D" w:rsidRPr="005C1C0D" w:rsidTr="00FC46F1">
        <w:trPr>
          <w:gridAfter w:val="1"/>
          <w:wAfter w:w="11" w:type="dxa"/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4287, 18.8.2065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320-01/14-04/12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4282, 18.8.2065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320-01/14-04/12</w:t>
            </w:r>
          </w:p>
        </w:tc>
      </w:tr>
      <w:tr w:rsidR="005C1C0D" w:rsidRPr="005C1C0D" w:rsidTr="00FC46F1">
        <w:trPr>
          <w:gridAfter w:val="1"/>
          <w:wAfter w:w="11" w:type="dxa"/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43.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4283, 18.8.2065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320-01/14-04/13</w:t>
            </w:r>
          </w:p>
        </w:tc>
      </w:tr>
      <w:tr w:rsidR="005C1C0D" w:rsidRPr="005C1C0D" w:rsidTr="00FC46F1">
        <w:trPr>
          <w:gridAfter w:val="1"/>
          <w:wAfter w:w="11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Šikara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4307, 18.8.2065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320-01/14-04/14</w:t>
            </w:r>
          </w:p>
        </w:tc>
      </w:tr>
      <w:tr w:rsidR="005C1C0D" w:rsidRPr="005C1C0D" w:rsidTr="00FC46F1">
        <w:trPr>
          <w:gridAfter w:val="1"/>
          <w:wAfter w:w="11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4284, 18.8.2065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320-01/14-04/15</w:t>
            </w:r>
          </w:p>
        </w:tc>
      </w:tr>
      <w:tr w:rsidR="005C1C0D" w:rsidRPr="005C1C0D" w:rsidTr="00FC46F1">
        <w:trPr>
          <w:gridAfter w:val="1"/>
          <w:wAfter w:w="11" w:type="dxa"/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4288, 18.8.2065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320-01/14-04/16</w:t>
            </w:r>
          </w:p>
        </w:tc>
      </w:tr>
      <w:tr w:rsidR="005C1C0D" w:rsidRPr="005C1C0D" w:rsidTr="00FC46F1">
        <w:trPr>
          <w:gridAfter w:val="1"/>
          <w:wAfter w:w="11" w:type="dxa"/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Šikara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4294, 18.8.2065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320-01/14-04/17</w:t>
            </w:r>
          </w:p>
        </w:tc>
      </w:tr>
      <w:tr w:rsidR="005C1C0D" w:rsidRPr="005C1C0D" w:rsidTr="00FC46F1">
        <w:trPr>
          <w:gridAfter w:val="1"/>
          <w:wAfter w:w="11" w:type="dxa"/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Šikara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4296, 18.8.2065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320-01/14-04/18</w:t>
            </w:r>
          </w:p>
        </w:tc>
      </w:tr>
      <w:tr w:rsidR="005C1C0D" w:rsidRPr="005C1C0D" w:rsidTr="00FC46F1">
        <w:trPr>
          <w:gridAfter w:val="1"/>
          <w:wAfter w:w="11" w:type="dxa"/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Šikara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4295,18.8.2065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320-01/14-04/19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Šikara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Šikara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Okrugljak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Trnovec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Lamprić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Lamprić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Vrbovec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Trebež</w:t>
            </w:r>
            <w:proofErr w:type="spellEnd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 Rudešu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737/1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737/1,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320-01/14-04/19</w:t>
            </w:r>
          </w:p>
        </w:tc>
      </w:tr>
      <w:tr w:rsidR="005C1C0D" w:rsidRPr="005C1C0D" w:rsidTr="00FC46F1">
        <w:trPr>
          <w:gridAfter w:val="1"/>
          <w:wAfter w:w="11" w:type="dxa"/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Vrbovec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Trebež</w:t>
            </w:r>
            <w:proofErr w:type="spellEnd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 Rudešu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737/8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737/8,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320-01/14-04/20</w:t>
            </w:r>
          </w:p>
        </w:tc>
      </w:tr>
      <w:tr w:rsidR="005C1C0D" w:rsidRPr="005C1C0D" w:rsidTr="00FC46F1">
        <w:trPr>
          <w:gridAfter w:val="1"/>
          <w:wAfter w:w="11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Vrbovec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Trebež</w:t>
            </w:r>
            <w:proofErr w:type="spellEnd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 Rudešu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737/11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Vrbovec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Savišće</w:t>
            </w:r>
            <w:proofErr w:type="spellEnd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 Rudešu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742/1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65.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Vrbovec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Savišće</w:t>
            </w:r>
            <w:proofErr w:type="spellEnd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 Rudešu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743/2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Vrbovec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Savišće</w:t>
            </w:r>
            <w:proofErr w:type="spellEnd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 Rudešu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744/2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Vrbovec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Grabarka u Tlakama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788/2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788/2,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320-01/14-04/20</w:t>
            </w:r>
          </w:p>
        </w:tc>
      </w:tr>
      <w:tr w:rsidR="005C1C0D" w:rsidRPr="005C1C0D" w:rsidTr="00FC46F1">
        <w:trPr>
          <w:gridAfter w:val="1"/>
          <w:wAfter w:w="11" w:type="dxa"/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Vrbovec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Tlake u Tlakama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790/1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38257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790/1,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320-01/14-04/21</w:t>
            </w:r>
          </w:p>
        </w:tc>
      </w:tr>
      <w:tr w:rsidR="005C1C0D" w:rsidRPr="005C1C0D" w:rsidTr="00FC46F1">
        <w:trPr>
          <w:gridAfter w:val="1"/>
          <w:wAfter w:w="11" w:type="dxa"/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Vrbovec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Duhanišće</w:t>
            </w:r>
            <w:proofErr w:type="spellEnd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 Tlakama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792/8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11293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792/8, 18.8.2065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,                       KLASA: 320-01/14-04/22</w:t>
            </w:r>
          </w:p>
        </w:tc>
      </w:tr>
      <w:tr w:rsidR="005C1C0D" w:rsidRPr="005C1C0D" w:rsidTr="00FC46F1">
        <w:trPr>
          <w:gridAfter w:val="1"/>
          <w:wAfter w:w="11" w:type="dxa"/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  <w:r w:rsidR="002968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Vrbovec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Savišće</w:t>
            </w:r>
            <w:proofErr w:type="spellEnd"/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 Tlakama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808/3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1C0D" w:rsidRPr="005C1C0D" w:rsidTr="00FC46F1">
        <w:trPr>
          <w:gridAfter w:val="1"/>
          <w:wAfter w:w="11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  <w:r w:rsidR="002968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Samobor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Vrbovec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zakup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750, 4.10.2022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:                       KLASA 945-01/16-01/2892</w:t>
            </w:r>
          </w:p>
        </w:tc>
      </w:tr>
      <w:tr w:rsidR="005C1C0D" w:rsidRPr="005C1C0D" w:rsidTr="00FC46F1">
        <w:trPr>
          <w:gridAfter w:val="1"/>
          <w:wAfter w:w="11" w:type="dxa"/>
          <w:trHeight w:val="465"/>
        </w:trPr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075D22" w:rsidP="005C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468215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C1C0D" w:rsidRPr="005C1C0D" w:rsidRDefault="005C1C0D" w:rsidP="005C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5C1C0D" w:rsidRPr="005C1C0D" w:rsidRDefault="005C1C0D" w:rsidP="005C1C0D">
      <w:pPr>
        <w:spacing w:beforeAutospacing="1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hr-HR"/>
        </w:rPr>
      </w:pPr>
    </w:p>
    <w:p w:rsidR="005C1C0D" w:rsidRPr="005C1C0D" w:rsidRDefault="005C1C0D" w:rsidP="005C1C0D">
      <w:pPr>
        <w:spacing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5C1C0D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  <w:lang w:eastAsia="hr-HR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C1C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GRADONAČELNIK</w:t>
      </w:r>
    </w:p>
    <w:p w:rsidR="005C1C0D" w:rsidRPr="005C1C0D" w:rsidRDefault="005C1C0D" w:rsidP="005C1C0D">
      <w:pPr>
        <w:spacing w:beforeAutospacing="1"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5C1C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Krešo </w:t>
      </w:r>
      <w:proofErr w:type="spellStart"/>
      <w:r w:rsidRPr="005C1C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Beljak</w:t>
      </w:r>
      <w:proofErr w:type="spellEnd"/>
      <w:r w:rsidRPr="005C1C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Pr="005C1C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mag.educ.geogr.v.r</w:t>
      </w:r>
      <w:proofErr w:type="spellEnd"/>
      <w:r w:rsidRPr="005C1C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.</w:t>
      </w:r>
    </w:p>
    <w:p w:rsidR="005C1C0D" w:rsidRPr="005C1C0D" w:rsidRDefault="005C1C0D" w:rsidP="005C1C0D">
      <w:pPr>
        <w:spacing w:beforeAutospacing="1"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:rsidR="005C1C0D" w:rsidRPr="005C1C0D" w:rsidRDefault="005C1C0D" w:rsidP="005C1C0D">
      <w:pPr>
        <w:spacing w:beforeAutospacing="1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hr-HR"/>
        </w:rPr>
      </w:pPr>
    </w:p>
    <w:p w:rsidR="005C1C0D" w:rsidRPr="005C1C0D" w:rsidRDefault="005C1C0D" w:rsidP="005C1C0D">
      <w:pPr>
        <w:spacing w:beforeAutospacing="1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hr-HR"/>
        </w:rPr>
      </w:pPr>
    </w:p>
    <w:p w:rsidR="005C1C0D" w:rsidRPr="005C1C0D" w:rsidRDefault="005C1C0D" w:rsidP="005C1C0D">
      <w:pPr>
        <w:spacing w:beforeAutospacing="1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hr-HR"/>
        </w:rPr>
      </w:pPr>
    </w:p>
    <w:p w:rsidR="005C1C0D" w:rsidRPr="005C1C0D" w:rsidRDefault="005C1C0D" w:rsidP="005C1C0D">
      <w:pPr>
        <w:spacing w:beforeAutospacing="1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hr-HR"/>
        </w:rPr>
      </w:pPr>
    </w:p>
    <w:p w:rsidR="005C1C0D" w:rsidRPr="005C1C0D" w:rsidRDefault="005C1C0D" w:rsidP="005C1C0D">
      <w:pPr>
        <w:spacing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hr-HR"/>
        </w:rPr>
      </w:pPr>
    </w:p>
    <w:p w:rsidR="005C1C0D" w:rsidRPr="005C1C0D" w:rsidRDefault="005C1C0D" w:rsidP="005C1C0D">
      <w:pPr>
        <w:spacing w:beforeAutospacing="1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hr-HR"/>
        </w:rPr>
      </w:pPr>
    </w:p>
    <w:p w:rsidR="005C1C0D" w:rsidRPr="005C1C0D" w:rsidRDefault="005C1C0D" w:rsidP="005C1C0D">
      <w:pPr>
        <w:spacing w:beforeAutospacing="1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hr-HR"/>
        </w:rPr>
      </w:pPr>
    </w:p>
    <w:p w:rsidR="005C1C0D" w:rsidRPr="005C1C0D" w:rsidRDefault="005C1C0D" w:rsidP="005C1C0D">
      <w:pPr>
        <w:spacing w:beforeAutospacing="1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hr-HR"/>
        </w:rPr>
      </w:pPr>
    </w:p>
    <w:p w:rsidR="005C1C0D" w:rsidRPr="005C1C0D" w:rsidRDefault="005C1C0D" w:rsidP="005C1C0D">
      <w:pPr>
        <w:spacing w:beforeAutospacing="1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hr-HR"/>
        </w:rPr>
      </w:pPr>
    </w:p>
    <w:p w:rsidR="005C1C0D" w:rsidRPr="005C1C0D" w:rsidRDefault="005C1C0D" w:rsidP="005C1C0D">
      <w:pPr>
        <w:spacing w:beforeAutospacing="1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hr-HR"/>
        </w:rPr>
      </w:pPr>
    </w:p>
    <w:p w:rsidR="005F6A32" w:rsidRDefault="005F6A32"/>
    <w:sectPr w:rsidR="005F6A32" w:rsidSect="00575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0D"/>
    <w:rsid w:val="00075D22"/>
    <w:rsid w:val="001B6E32"/>
    <w:rsid w:val="00282ACF"/>
    <w:rsid w:val="0029685B"/>
    <w:rsid w:val="002B1680"/>
    <w:rsid w:val="002C592A"/>
    <w:rsid w:val="0032608A"/>
    <w:rsid w:val="00575263"/>
    <w:rsid w:val="005C1C0D"/>
    <w:rsid w:val="005F6A32"/>
    <w:rsid w:val="007026D9"/>
    <w:rsid w:val="0073340C"/>
    <w:rsid w:val="007B1BB4"/>
    <w:rsid w:val="007D5054"/>
    <w:rsid w:val="0082010C"/>
    <w:rsid w:val="009D4B23"/>
    <w:rsid w:val="00A35190"/>
    <w:rsid w:val="00A40DE2"/>
    <w:rsid w:val="00AC5A48"/>
    <w:rsid w:val="00D30A60"/>
    <w:rsid w:val="00D378B0"/>
    <w:rsid w:val="00D41EF1"/>
    <w:rsid w:val="00E26C23"/>
    <w:rsid w:val="00F647FF"/>
    <w:rsid w:val="00F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8A9D"/>
  <w15:chartTrackingRefBased/>
  <w15:docId w15:val="{A52B1E20-4806-4F11-BC7E-7FE78680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C1C0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5C1C0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C1C0D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C1C0D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5C1C0D"/>
  </w:style>
  <w:style w:type="paragraph" w:customStyle="1" w:styleId="Normal1">
    <w:name w:val="Normal1"/>
    <w:basedOn w:val="Normal"/>
    <w:rsid w:val="005C1C0D"/>
    <w:pPr>
      <w:spacing w:after="0" w:line="240" w:lineRule="auto"/>
      <w:jc w:val="center"/>
    </w:pPr>
    <w:rPr>
      <w:rFonts w:ascii="Calibri" w:eastAsiaTheme="minorEastAsia" w:hAnsi="Calibri" w:cs="Calibri"/>
      <w:sz w:val="32"/>
      <w:szCs w:val="32"/>
      <w:lang w:eastAsia="hr-HR"/>
    </w:rPr>
  </w:style>
  <w:style w:type="paragraph" w:customStyle="1" w:styleId="naslov">
    <w:name w:val="naslov"/>
    <w:basedOn w:val="Normal"/>
    <w:rsid w:val="005C1C0D"/>
    <w:pPr>
      <w:spacing w:after="270" w:line="240" w:lineRule="auto"/>
    </w:pPr>
    <w:rPr>
      <w:rFonts w:ascii="Cambria" w:eastAsiaTheme="minorEastAsia" w:hAnsi="Cambria" w:cs="Times New Roman"/>
      <w:sz w:val="52"/>
      <w:szCs w:val="52"/>
      <w:lang w:eastAsia="hr-HR"/>
    </w:rPr>
  </w:style>
  <w:style w:type="paragraph" w:customStyle="1" w:styleId="normal-000002">
    <w:name w:val="normal-000002"/>
    <w:basedOn w:val="Normal"/>
    <w:rsid w:val="005C1C0D"/>
    <w:pPr>
      <w:spacing w:before="100" w:beforeAutospacing="1" w:after="19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04">
    <w:name w:val="normal-000004"/>
    <w:basedOn w:val="Normal"/>
    <w:rsid w:val="005C1C0D"/>
    <w:pPr>
      <w:spacing w:before="100" w:beforeAutospacing="1" w:after="195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09">
    <w:name w:val="normal-000009"/>
    <w:basedOn w:val="Normal"/>
    <w:rsid w:val="005C1C0D"/>
    <w:pPr>
      <w:spacing w:before="100" w:beforeAutospacing="1" w:after="195" w:line="240" w:lineRule="auto"/>
      <w:jc w:val="both"/>
    </w:pPr>
    <w:rPr>
      <w:rFonts w:ascii="Calibri" w:eastAsiaTheme="minorEastAsia" w:hAnsi="Calibri" w:cs="Calibri"/>
      <w:lang w:eastAsia="hr-HR"/>
    </w:rPr>
  </w:style>
  <w:style w:type="paragraph" w:customStyle="1" w:styleId="normal-000010">
    <w:name w:val="normal-000010"/>
    <w:basedOn w:val="Normal"/>
    <w:rsid w:val="005C1C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1">
    <w:name w:val="normal-000011"/>
    <w:basedOn w:val="Normal"/>
    <w:rsid w:val="005C1C0D"/>
    <w:pPr>
      <w:spacing w:before="100" w:beforeAutospacing="1" w:after="18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3">
    <w:name w:val="normal-000013"/>
    <w:basedOn w:val="Normal"/>
    <w:rsid w:val="005C1C0D"/>
    <w:pPr>
      <w:spacing w:before="100" w:beforeAutospacing="1" w:after="18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4">
    <w:name w:val="normal-000014"/>
    <w:basedOn w:val="Normal"/>
    <w:rsid w:val="005C1C0D"/>
    <w:pPr>
      <w:spacing w:after="18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5">
    <w:name w:val="normal-000015"/>
    <w:basedOn w:val="Normal"/>
    <w:rsid w:val="005C1C0D"/>
    <w:pPr>
      <w:spacing w:after="180" w:line="240" w:lineRule="auto"/>
    </w:pPr>
    <w:rPr>
      <w:rFonts w:ascii="Calibri" w:eastAsiaTheme="minorEastAsia" w:hAnsi="Calibri" w:cs="Calibri"/>
      <w:lang w:eastAsia="hr-HR"/>
    </w:rPr>
  </w:style>
  <w:style w:type="paragraph" w:customStyle="1" w:styleId="normal-000017">
    <w:name w:val="normal-000017"/>
    <w:basedOn w:val="Normal"/>
    <w:rsid w:val="005C1C0D"/>
    <w:pPr>
      <w:spacing w:after="180" w:line="240" w:lineRule="auto"/>
      <w:jc w:val="center"/>
    </w:pPr>
    <w:rPr>
      <w:rFonts w:ascii="Calibri" w:eastAsiaTheme="minorEastAsia" w:hAnsi="Calibri" w:cs="Calibri"/>
      <w:lang w:eastAsia="hr-HR"/>
    </w:rPr>
  </w:style>
  <w:style w:type="paragraph" w:customStyle="1" w:styleId="normal-000018">
    <w:name w:val="normal-000018"/>
    <w:basedOn w:val="Normal"/>
    <w:rsid w:val="005C1C0D"/>
    <w:pPr>
      <w:spacing w:after="18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hr-HR"/>
    </w:rPr>
  </w:style>
  <w:style w:type="paragraph" w:customStyle="1" w:styleId="normal-000021">
    <w:name w:val="normal-000021"/>
    <w:basedOn w:val="Normal"/>
    <w:rsid w:val="005C1C0D"/>
    <w:pPr>
      <w:spacing w:after="18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25">
    <w:name w:val="normal-000025"/>
    <w:basedOn w:val="Normal"/>
    <w:rsid w:val="005C1C0D"/>
    <w:pPr>
      <w:spacing w:after="0" w:line="240" w:lineRule="auto"/>
      <w:jc w:val="center"/>
    </w:pPr>
    <w:rPr>
      <w:rFonts w:ascii="Times New Roman" w:eastAsiaTheme="minorEastAsia" w:hAnsi="Times New Roman" w:cs="Times New Roman"/>
      <w:lang w:eastAsia="hr-HR"/>
    </w:rPr>
  </w:style>
  <w:style w:type="paragraph" w:customStyle="1" w:styleId="normal-000031">
    <w:name w:val="normal-000031"/>
    <w:basedOn w:val="Normal"/>
    <w:rsid w:val="005C1C0D"/>
    <w:pPr>
      <w:spacing w:after="0" w:line="240" w:lineRule="auto"/>
    </w:pPr>
    <w:rPr>
      <w:rFonts w:ascii="Calibri" w:eastAsiaTheme="minorEastAsia" w:hAnsi="Calibri" w:cs="Calibri"/>
      <w:lang w:eastAsia="hr-HR"/>
    </w:rPr>
  </w:style>
  <w:style w:type="paragraph" w:customStyle="1" w:styleId="normal-000037">
    <w:name w:val="normal-000037"/>
    <w:basedOn w:val="Normal"/>
    <w:rsid w:val="005C1C0D"/>
    <w:pPr>
      <w:spacing w:after="0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eastAsia="hr-HR"/>
    </w:rPr>
  </w:style>
  <w:style w:type="paragraph" w:customStyle="1" w:styleId="normal-000053">
    <w:name w:val="normal-000053"/>
    <w:basedOn w:val="Normal"/>
    <w:rsid w:val="005C1C0D"/>
    <w:pPr>
      <w:spacing w:after="0" w:line="240" w:lineRule="auto"/>
    </w:pPr>
    <w:rPr>
      <w:rFonts w:ascii="Calibri" w:eastAsiaTheme="minorEastAsia" w:hAnsi="Calibri" w:cs="Calibri"/>
      <w:sz w:val="18"/>
      <w:szCs w:val="18"/>
      <w:lang w:eastAsia="hr-HR"/>
    </w:rPr>
  </w:style>
  <w:style w:type="paragraph" w:customStyle="1" w:styleId="000072">
    <w:name w:val="000072"/>
    <w:basedOn w:val="Normal"/>
    <w:rsid w:val="005C1C0D"/>
    <w:pPr>
      <w:spacing w:before="100" w:beforeAutospacing="1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000075">
    <w:name w:val="000075"/>
    <w:basedOn w:val="Normal"/>
    <w:rsid w:val="005C1C0D"/>
    <w:pPr>
      <w:spacing w:before="100" w:beforeAutospacing="1" w:after="19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000000">
    <w:name w:val="000000"/>
    <w:basedOn w:val="Zadanifontodlomka"/>
    <w:rsid w:val="005C1C0D"/>
    <w:rPr>
      <w:b/>
      <w:bCs/>
      <w:sz w:val="32"/>
      <w:szCs w:val="32"/>
    </w:rPr>
  </w:style>
  <w:style w:type="character" w:customStyle="1" w:styleId="zadanifontodlomka0">
    <w:name w:val="zadanifontodlomka"/>
    <w:basedOn w:val="Zadanifontodlomka"/>
    <w:rsid w:val="005C1C0D"/>
    <w:rPr>
      <w:rFonts w:ascii="Cambria" w:hAnsi="Cambria" w:hint="default"/>
      <w:b w:val="0"/>
      <w:bCs w:val="0"/>
      <w:color w:val="17365D"/>
      <w:sz w:val="52"/>
      <w:szCs w:val="52"/>
    </w:rPr>
  </w:style>
  <w:style w:type="character" w:customStyle="1" w:styleId="zadanifontodlomka-000003">
    <w:name w:val="zadanifontodlomka-000003"/>
    <w:basedOn w:val="Zadanifontodlomka"/>
    <w:rsid w:val="005C1C0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5">
    <w:name w:val="000005"/>
    <w:basedOn w:val="Zadanifontodlomka"/>
    <w:rsid w:val="005C1C0D"/>
    <w:rPr>
      <w:b/>
      <w:bCs/>
      <w:sz w:val="24"/>
      <w:szCs w:val="24"/>
    </w:rPr>
  </w:style>
  <w:style w:type="character" w:customStyle="1" w:styleId="zadanifontodlomka-000006">
    <w:name w:val="zadanifontodlomka-000006"/>
    <w:basedOn w:val="Zadanifontodlomka"/>
    <w:rsid w:val="005C1C0D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zadanifontodlomka-000007">
    <w:name w:val="zadanifontodlomka-000007"/>
    <w:basedOn w:val="Zadanifontodlomka"/>
    <w:rsid w:val="005C1C0D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zadanifontodlomka-000008">
    <w:name w:val="zadanifontodlomka-000008"/>
    <w:basedOn w:val="Zadanifontodlomka"/>
    <w:rsid w:val="005C1C0D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000012">
    <w:name w:val="000012"/>
    <w:basedOn w:val="Zadanifontodlomka"/>
    <w:rsid w:val="005C1C0D"/>
    <w:rPr>
      <w:b w:val="0"/>
      <w:bCs w:val="0"/>
      <w:sz w:val="24"/>
      <w:szCs w:val="24"/>
    </w:rPr>
  </w:style>
  <w:style w:type="character" w:customStyle="1" w:styleId="000016">
    <w:name w:val="000016"/>
    <w:basedOn w:val="Zadanifontodlomka"/>
    <w:rsid w:val="005C1C0D"/>
    <w:rPr>
      <w:b/>
      <w:bCs/>
      <w:sz w:val="22"/>
      <w:szCs w:val="22"/>
    </w:rPr>
  </w:style>
  <w:style w:type="character" w:customStyle="1" w:styleId="000019">
    <w:name w:val="000019"/>
    <w:basedOn w:val="Zadanifontodlomka"/>
    <w:rsid w:val="005C1C0D"/>
    <w:rPr>
      <w:b/>
      <w:bCs/>
      <w:sz w:val="28"/>
      <w:szCs w:val="28"/>
    </w:rPr>
  </w:style>
  <w:style w:type="character" w:customStyle="1" w:styleId="zadanifontodlomka-000020">
    <w:name w:val="zadanifontodlomka-000020"/>
    <w:basedOn w:val="Zadanifontodlomka"/>
    <w:rsid w:val="005C1C0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zadanifontodlomka-000022">
    <w:name w:val="zadanifontodlomka-000022"/>
    <w:basedOn w:val="Zadanifontodlomka"/>
    <w:rsid w:val="005C1C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26">
    <w:name w:val="zadanifontodlomka-000026"/>
    <w:basedOn w:val="Zadanifontodlomka"/>
    <w:rsid w:val="005C1C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zadanifontodlomka-000030">
    <w:name w:val="zadanifontodlomka-000030"/>
    <w:basedOn w:val="Zadanifontodlomka"/>
    <w:rsid w:val="005C1C0D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zadanifontodlomka-000038">
    <w:name w:val="zadanifontodlomka-000038"/>
    <w:basedOn w:val="Zadanifontodlomka"/>
    <w:rsid w:val="005C1C0D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zadanifontodlomka-000054">
    <w:name w:val="zadanifontodlomka-000054"/>
    <w:basedOn w:val="Zadanifontodlomka"/>
    <w:rsid w:val="005C1C0D"/>
    <w:rPr>
      <w:rFonts w:ascii="Calibri" w:hAnsi="Calibri" w:cs="Calibri" w:hint="default"/>
      <w:b w:val="0"/>
      <w:bCs w:val="0"/>
      <w:color w:val="000000"/>
      <w:sz w:val="18"/>
      <w:szCs w:val="18"/>
    </w:rPr>
  </w:style>
  <w:style w:type="character" w:customStyle="1" w:styleId="000073">
    <w:name w:val="000073"/>
    <w:basedOn w:val="Zadanifontodlomka"/>
    <w:rsid w:val="005C1C0D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5C1C0D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1C0D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C0D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Jaic Krasnik</dc:creator>
  <cp:keywords/>
  <dc:description/>
  <cp:lastModifiedBy>Igor Jaic Krasnik</cp:lastModifiedBy>
  <cp:revision>29</cp:revision>
  <dcterms:created xsi:type="dcterms:W3CDTF">2018-05-15T09:04:00Z</dcterms:created>
  <dcterms:modified xsi:type="dcterms:W3CDTF">2018-05-16T07:40:00Z</dcterms:modified>
</cp:coreProperties>
</file>